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30D7" w14:textId="77777777" w:rsidR="0023653F" w:rsidRDefault="0023653F" w:rsidP="00324303">
      <w:pPr>
        <w:autoSpaceDE w:val="0"/>
        <w:autoSpaceDN w:val="0"/>
        <w:adjustRightInd w:val="0"/>
        <w:rPr>
          <w:rFonts w:ascii="TimesNewRoman" w:hAnsi="TimesNewRoman" w:cs="TimesNewRoman"/>
          <w:szCs w:val="24"/>
        </w:rPr>
      </w:pPr>
    </w:p>
    <w:p w14:paraId="07DE5B5E" w14:textId="77777777" w:rsidR="0023653F" w:rsidRDefault="0023653F" w:rsidP="00853940">
      <w:pPr>
        <w:autoSpaceDE w:val="0"/>
        <w:autoSpaceDN w:val="0"/>
        <w:adjustRightInd w:val="0"/>
        <w:jc w:val="right"/>
        <w:rPr>
          <w:rFonts w:ascii="TimesNewRoman" w:hAnsi="TimesNewRoman" w:cs="TimesNewRoman"/>
          <w:szCs w:val="24"/>
        </w:rPr>
      </w:pPr>
    </w:p>
    <w:p w14:paraId="27FE3D25" w14:textId="6F641ACD" w:rsidR="00F83EB4" w:rsidRPr="00C916DC" w:rsidRDefault="00324303" w:rsidP="00F83EB4">
      <w:pPr>
        <w:autoSpaceDE w:val="0"/>
        <w:autoSpaceDN w:val="0"/>
        <w:adjustRightInd w:val="0"/>
        <w:jc w:val="right"/>
        <w:rPr>
          <w:rFonts w:ascii="Times New Roman" w:hAnsi="Times New Roman"/>
          <w:b/>
          <w:bCs/>
          <w:color w:val="000000"/>
          <w:szCs w:val="24"/>
        </w:rPr>
      </w:pPr>
      <w:r w:rsidRPr="00C916DC">
        <w:rPr>
          <w:rFonts w:ascii="Times New Roman" w:hAnsi="Times New Roman"/>
          <w:b/>
          <w:bCs/>
          <w:color w:val="000000"/>
          <w:szCs w:val="24"/>
        </w:rPr>
        <w:t>All. 1</w:t>
      </w:r>
    </w:p>
    <w:p w14:paraId="3911ECCE" w14:textId="77777777" w:rsidR="00324303" w:rsidRPr="00C916DC" w:rsidRDefault="00324303" w:rsidP="00F83EB4">
      <w:pPr>
        <w:autoSpaceDE w:val="0"/>
        <w:autoSpaceDN w:val="0"/>
        <w:adjustRightInd w:val="0"/>
        <w:jc w:val="right"/>
        <w:rPr>
          <w:rFonts w:ascii="Times New Roman" w:hAnsi="Times New Roman"/>
          <w:color w:val="000000"/>
          <w:szCs w:val="24"/>
        </w:rPr>
      </w:pPr>
    </w:p>
    <w:p w14:paraId="6541F35D" w14:textId="530E7E10" w:rsidR="003B5301" w:rsidRPr="00C916DC" w:rsidRDefault="00F83EB4" w:rsidP="004E79E4">
      <w:pPr>
        <w:autoSpaceDE w:val="0"/>
        <w:autoSpaceDN w:val="0"/>
        <w:adjustRightInd w:val="0"/>
        <w:rPr>
          <w:rFonts w:ascii="Times New Roman" w:hAnsi="Times New Roman"/>
          <w:b/>
          <w:bCs/>
          <w:szCs w:val="24"/>
        </w:rPr>
      </w:pPr>
      <w:r w:rsidRPr="00C916DC">
        <w:rPr>
          <w:rFonts w:ascii="Times New Roman" w:hAnsi="Times New Roman"/>
          <w:b/>
          <w:bCs/>
          <w:szCs w:val="24"/>
        </w:rPr>
        <w:t>Oggetto:</w:t>
      </w:r>
      <w:r w:rsidRPr="00C916DC">
        <w:rPr>
          <w:rFonts w:ascii="Times New Roman" w:hAnsi="Times New Roman"/>
          <w:b/>
          <w:bCs/>
          <w:szCs w:val="24"/>
        </w:rPr>
        <w:tab/>
      </w:r>
      <w:r w:rsidR="00896241" w:rsidRPr="00C916DC">
        <w:rPr>
          <w:rFonts w:ascii="Times New Roman" w:hAnsi="Times New Roman"/>
          <w:b/>
          <w:bCs/>
          <w:szCs w:val="24"/>
        </w:rPr>
        <w:t xml:space="preserve">Procedimento per l’istituzione del Parco Nazionale della Costa dei Trabocchi e Teatina </w:t>
      </w:r>
      <w:r w:rsidRPr="00C916DC">
        <w:rPr>
          <w:rFonts w:ascii="Times New Roman" w:hAnsi="Times New Roman"/>
          <w:b/>
          <w:bCs/>
          <w:szCs w:val="24"/>
        </w:rPr>
        <w:t xml:space="preserve">(art. 8, comma 3, Legge 23 marzo 2001 n. 93) </w:t>
      </w:r>
      <w:r w:rsidR="004E79E4" w:rsidRPr="00C916DC">
        <w:rPr>
          <w:rFonts w:ascii="Times New Roman" w:hAnsi="Times New Roman"/>
          <w:b/>
          <w:bCs/>
          <w:szCs w:val="24"/>
        </w:rPr>
        <w:t>- art. 1 - commi 692 e 693 della Legge 30/12/2025, n. 199</w:t>
      </w:r>
    </w:p>
    <w:p w14:paraId="714B3D97" w14:textId="77777777" w:rsidR="003B5301" w:rsidRPr="00C916DC" w:rsidRDefault="003B5301" w:rsidP="00F83EB4">
      <w:pPr>
        <w:ind w:left="1134" w:right="140" w:hanging="1134"/>
        <w:rPr>
          <w:rFonts w:ascii="Times New Roman" w:hAnsi="Times New Roman"/>
          <w:b/>
          <w:bCs/>
          <w:szCs w:val="24"/>
        </w:rPr>
      </w:pPr>
    </w:p>
    <w:p w14:paraId="52D958A2" w14:textId="3FA2122A" w:rsidR="00136622" w:rsidRPr="00C916DC" w:rsidRDefault="00CA4EDD" w:rsidP="00136622">
      <w:pPr>
        <w:autoSpaceDE w:val="0"/>
        <w:autoSpaceDN w:val="0"/>
        <w:adjustRightInd w:val="0"/>
        <w:ind w:firstLine="567"/>
        <w:rPr>
          <w:rFonts w:ascii="TimesNewRoman" w:hAnsi="TimesNewRoman" w:cs="TimesNewRoman"/>
          <w:szCs w:val="24"/>
        </w:rPr>
      </w:pPr>
      <w:r w:rsidRPr="00C916DC">
        <w:rPr>
          <w:rFonts w:ascii="TimesNewRoman" w:hAnsi="TimesNewRoman" w:cs="TimesNewRoman"/>
          <w:szCs w:val="24"/>
        </w:rPr>
        <w:t>Con</w:t>
      </w:r>
      <w:r w:rsidR="001A47B3" w:rsidRPr="00C916DC">
        <w:rPr>
          <w:rFonts w:ascii="TimesNewRoman" w:hAnsi="TimesNewRoman" w:cs="TimesNewRoman"/>
          <w:szCs w:val="24"/>
        </w:rPr>
        <w:t xml:space="preserve"> </w:t>
      </w:r>
      <w:r w:rsidR="00136622" w:rsidRPr="00C916DC">
        <w:rPr>
          <w:rFonts w:ascii="TimesNewRoman" w:hAnsi="TimesNewRoman" w:cs="TimesNewRoman"/>
          <w:szCs w:val="24"/>
        </w:rPr>
        <w:t xml:space="preserve">l’articolo 8, comma 3, della legge 23 marzo 2001, n. 93, è stata prevista l’istituzione del Parco nazionale “Costa teatina”.  </w:t>
      </w:r>
    </w:p>
    <w:p w14:paraId="772A2008" w14:textId="112B940B" w:rsidR="00136622" w:rsidRPr="00C916DC" w:rsidRDefault="00136622" w:rsidP="00136622">
      <w:pPr>
        <w:autoSpaceDE w:val="0"/>
        <w:autoSpaceDN w:val="0"/>
        <w:adjustRightInd w:val="0"/>
        <w:ind w:firstLine="567"/>
        <w:rPr>
          <w:rFonts w:ascii="TimesNewRoman" w:hAnsi="TimesNewRoman" w:cs="TimesNewRoman"/>
          <w:szCs w:val="24"/>
        </w:rPr>
      </w:pPr>
      <w:r w:rsidRPr="00C916DC">
        <w:rPr>
          <w:rFonts w:ascii="TimesNewRoman" w:hAnsi="TimesNewRoman" w:cs="TimesNewRoman"/>
          <w:szCs w:val="24"/>
        </w:rPr>
        <w:t xml:space="preserve">La normativa è stata di recente modificata dall’art. 1, commi 692, 693 e 694, della legge 30 dicembre 2025, n. 199, (Bilancio di </w:t>
      </w:r>
      <w:r w:rsidR="001A47B3" w:rsidRPr="00C916DC">
        <w:rPr>
          <w:rFonts w:ascii="TimesNewRoman" w:hAnsi="TimesNewRoman" w:cs="TimesNewRoman"/>
          <w:szCs w:val="24"/>
        </w:rPr>
        <w:t>p</w:t>
      </w:r>
      <w:r w:rsidRPr="00C916DC">
        <w:rPr>
          <w:rFonts w:ascii="TimesNewRoman" w:hAnsi="TimesNewRoman" w:cs="TimesNewRoman"/>
          <w:szCs w:val="24"/>
        </w:rPr>
        <w:t xml:space="preserve">revisione dello Stato per l'anno finanziario 2026 e bilancio pluriennale per il triennio 2026-2028) che: </w:t>
      </w:r>
    </w:p>
    <w:p w14:paraId="261BC34D" w14:textId="77777777" w:rsidR="00136622" w:rsidRPr="00C916DC" w:rsidRDefault="00136622" w:rsidP="00136622">
      <w:pPr>
        <w:autoSpaceDE w:val="0"/>
        <w:autoSpaceDN w:val="0"/>
        <w:adjustRightInd w:val="0"/>
        <w:ind w:firstLine="567"/>
        <w:rPr>
          <w:rFonts w:ascii="TimesNewRoman" w:hAnsi="TimesNewRoman" w:cs="TimesNewRoman"/>
          <w:szCs w:val="24"/>
        </w:rPr>
      </w:pPr>
      <w:r w:rsidRPr="00C916DC">
        <w:rPr>
          <w:rFonts w:ascii="TimesNewRoman" w:hAnsi="TimesNewRoman" w:cs="TimesNewRoman"/>
          <w:szCs w:val="24"/>
        </w:rPr>
        <w:t>1)</w:t>
      </w:r>
      <w:r w:rsidRPr="00C916DC">
        <w:rPr>
          <w:rFonts w:ascii="TimesNewRoman" w:hAnsi="TimesNewRoman" w:cs="TimesNewRoman"/>
          <w:szCs w:val="24"/>
        </w:rPr>
        <w:tab/>
        <w:t xml:space="preserve">ha aggiornato la denominazione del Parco, divenuto ora della “Costa dei Trabocchi e Teatina” (comma 692); </w:t>
      </w:r>
    </w:p>
    <w:p w14:paraId="12202622" w14:textId="77777777" w:rsidR="00136622" w:rsidRPr="00C916DC" w:rsidRDefault="00136622" w:rsidP="00136622">
      <w:pPr>
        <w:autoSpaceDE w:val="0"/>
        <w:autoSpaceDN w:val="0"/>
        <w:adjustRightInd w:val="0"/>
        <w:ind w:firstLine="567"/>
        <w:rPr>
          <w:rFonts w:ascii="TimesNewRoman" w:hAnsi="TimesNewRoman" w:cs="TimesNewRoman"/>
          <w:szCs w:val="24"/>
        </w:rPr>
      </w:pPr>
      <w:r w:rsidRPr="00C916DC">
        <w:rPr>
          <w:rFonts w:ascii="TimesNewRoman" w:hAnsi="TimesNewRoman" w:cs="TimesNewRoman"/>
          <w:szCs w:val="24"/>
        </w:rPr>
        <w:t>2)</w:t>
      </w:r>
      <w:r w:rsidRPr="00C916DC">
        <w:rPr>
          <w:rFonts w:ascii="TimesNewRoman" w:hAnsi="TimesNewRoman" w:cs="TimesNewRoman"/>
          <w:szCs w:val="24"/>
        </w:rPr>
        <w:tab/>
        <w:t xml:space="preserve">ha introdotto l’obbligo di coinvolgere i comuni interessati anche nella seconda fase di adozione del decreto presidenziale volto all’istituzione definitiva del Parco, che ora deve quindi avvenire “con decreto del Presidente della Repubblica, su proposta del Ministro dell'ambiente, d'intesa con la regione interessata, sentiti i comuni interessati” (comma 693); </w:t>
      </w:r>
    </w:p>
    <w:p w14:paraId="5DBD6749" w14:textId="7663B2ED" w:rsidR="00853940" w:rsidRPr="00C916DC" w:rsidRDefault="00136622" w:rsidP="00136622">
      <w:pPr>
        <w:autoSpaceDE w:val="0"/>
        <w:autoSpaceDN w:val="0"/>
        <w:adjustRightInd w:val="0"/>
        <w:ind w:firstLine="567"/>
        <w:rPr>
          <w:rFonts w:ascii="TimesNewRoman" w:hAnsi="TimesNewRoman" w:cs="TimesNewRoman"/>
          <w:szCs w:val="24"/>
        </w:rPr>
      </w:pPr>
      <w:r w:rsidRPr="00C916DC">
        <w:rPr>
          <w:rFonts w:ascii="TimesNewRoman" w:hAnsi="TimesNewRoman" w:cs="TimesNewRoman"/>
          <w:szCs w:val="24"/>
        </w:rPr>
        <w:t>3)</w:t>
      </w:r>
      <w:r w:rsidRPr="00C916DC">
        <w:rPr>
          <w:rFonts w:ascii="TimesNewRoman" w:hAnsi="TimesNewRoman" w:cs="TimesNewRoman"/>
          <w:szCs w:val="24"/>
        </w:rPr>
        <w:tab/>
        <w:t>ha disposto l’abrogazione del comma 3-bis dell'articolo 2 del decreto-legge 29 dicembre 2010, n. 225, convertito, con modificazioni, dalla legge 26 febbraio 2011, n. 10 (comma 694), inerente alla nomina del commissario ad acta.</w:t>
      </w:r>
    </w:p>
    <w:p w14:paraId="0D83FE00" w14:textId="10213C41" w:rsidR="0023653F" w:rsidRPr="00C916DC" w:rsidRDefault="00CA4EDD" w:rsidP="0023653F">
      <w:pPr>
        <w:autoSpaceDE w:val="0"/>
        <w:autoSpaceDN w:val="0"/>
        <w:adjustRightInd w:val="0"/>
        <w:ind w:firstLine="567"/>
        <w:rPr>
          <w:rFonts w:ascii="TimesNewRoman" w:hAnsi="TimesNewRoman" w:cs="TimesNewRoman"/>
          <w:i/>
          <w:iCs/>
          <w:szCs w:val="24"/>
        </w:rPr>
      </w:pPr>
      <w:r w:rsidRPr="00C916DC">
        <w:rPr>
          <w:rFonts w:ascii="TimesNewRoman" w:hAnsi="TimesNewRoman" w:cs="TimesNewRoman"/>
          <w:szCs w:val="24"/>
        </w:rPr>
        <w:t xml:space="preserve">L </w:t>
      </w:r>
      <w:r w:rsidR="0023653F" w:rsidRPr="00C916DC">
        <w:rPr>
          <w:rFonts w:ascii="TimesNewRoman" w:hAnsi="TimesNewRoman" w:cs="TimesNewRoman"/>
          <w:szCs w:val="24"/>
        </w:rPr>
        <w:t>’Associazione World Wide Fund For Nature (WWF Italia) E.T.S., con ricorso proposto avanti al TAR Abruzzo, sede di Pescara, ha chiesto la condanna  della Presidenza del Consiglio dei ministri e del Ministero dell’ambiente e della sicurezza energetica a provvedere, ai sensi dell’art. 34, commi 3, 4 e 6, della legge 394/91, nel termine di 30 giorni dalla notificazione della sentenza, alla definizione del procedimento previsto dall'articolo 34 della legge 394 del 1991, nonché all’adozione delle misure di salvaguardia necessarie a garantire la conservazione dello stato dei luoghi</w:t>
      </w:r>
      <w:r w:rsidR="00044B3D" w:rsidRPr="00C916DC">
        <w:rPr>
          <w:rFonts w:ascii="TimesNewRoman" w:hAnsi="TimesNewRoman" w:cs="TimesNewRoman"/>
          <w:szCs w:val="24"/>
        </w:rPr>
        <w:t xml:space="preserve">; </w:t>
      </w:r>
      <w:r w:rsidR="0023653F" w:rsidRPr="00C916DC">
        <w:rPr>
          <w:rFonts w:ascii="TimesNewRoman" w:hAnsi="TimesNewRoman" w:cs="TimesNewRoman"/>
          <w:szCs w:val="24"/>
        </w:rPr>
        <w:t xml:space="preserve">contestualmente </w:t>
      </w:r>
      <w:r w:rsidR="00423496" w:rsidRPr="00C916DC">
        <w:rPr>
          <w:rFonts w:ascii="TimesNewRoman" w:hAnsi="TimesNewRoman" w:cs="TimesNewRoman"/>
          <w:szCs w:val="24"/>
        </w:rPr>
        <w:t xml:space="preserve">ha chiesto </w:t>
      </w:r>
      <w:r w:rsidR="0023653F" w:rsidRPr="00C916DC">
        <w:rPr>
          <w:rFonts w:ascii="TimesNewRoman" w:hAnsi="TimesNewRoman" w:cs="TimesNewRoman"/>
          <w:i/>
          <w:iCs/>
          <w:szCs w:val="24"/>
        </w:rPr>
        <w:t>“la nomina di un commissario ad acta affinché provveda sostitutivamente per il caso di ulteriore inadempimento”.</w:t>
      </w:r>
    </w:p>
    <w:p w14:paraId="2615E048" w14:textId="53B12141" w:rsidR="0023653F" w:rsidRPr="00C916DC" w:rsidRDefault="0023653F" w:rsidP="0023653F">
      <w:pPr>
        <w:autoSpaceDE w:val="0"/>
        <w:autoSpaceDN w:val="0"/>
        <w:adjustRightInd w:val="0"/>
        <w:ind w:firstLine="567"/>
        <w:rPr>
          <w:rFonts w:ascii="TimesNewRoman" w:hAnsi="TimesNewRoman" w:cs="TimesNewRoman"/>
          <w:szCs w:val="24"/>
        </w:rPr>
      </w:pPr>
      <w:r w:rsidRPr="00C916DC">
        <w:rPr>
          <w:rFonts w:ascii="Times New Roman" w:hAnsi="Times New Roman"/>
          <w:bCs/>
          <w:szCs w:val="24"/>
        </w:rPr>
        <w:t>Con ordinanza n.</w:t>
      </w:r>
      <w:r w:rsidR="001A47B3" w:rsidRPr="00C916DC">
        <w:rPr>
          <w:rFonts w:ascii="Times New Roman" w:hAnsi="Times New Roman"/>
          <w:bCs/>
          <w:szCs w:val="24"/>
        </w:rPr>
        <w:t xml:space="preserve"> </w:t>
      </w:r>
      <w:r w:rsidRPr="00C916DC">
        <w:rPr>
          <w:rFonts w:ascii="Times New Roman" w:hAnsi="Times New Roman"/>
          <w:bCs/>
          <w:szCs w:val="24"/>
        </w:rPr>
        <w:t>500/2025</w:t>
      </w:r>
      <w:r w:rsidR="001A47B3" w:rsidRPr="00C916DC">
        <w:rPr>
          <w:rFonts w:ascii="Times New Roman" w:hAnsi="Times New Roman"/>
          <w:bCs/>
          <w:szCs w:val="24"/>
        </w:rPr>
        <w:t>,</w:t>
      </w:r>
      <w:r w:rsidRPr="00C916DC">
        <w:rPr>
          <w:rFonts w:ascii="Times New Roman" w:hAnsi="Times New Roman"/>
          <w:bCs/>
          <w:szCs w:val="24"/>
        </w:rPr>
        <w:t xml:space="preserve"> pubblicata il 15 dicembre 2025, il TAR Abruzzo, “</w:t>
      </w:r>
      <w:r w:rsidRPr="00C916DC">
        <w:rPr>
          <w:rFonts w:ascii="Times New Roman" w:hAnsi="Times New Roman"/>
          <w:bCs/>
          <w:i/>
          <w:iCs/>
          <w:szCs w:val="24"/>
        </w:rPr>
        <w:t>ritenuto che sono necessari, ai fini del decidere, approfondimenti istruttori; ritenuto di dover richiedere alla Regione Abruzzo, costituitasi nell’odierno giudizio con atto di mera forma, il deposito di una dettagliata relazione sui fatti di causa, con cui si contro deduca sulle specifiche censure articolate in ricorso, e di ogni documento utile ai fini della decisione; ritenuto che l’Amministrazione regionale intimata dovrà provvedere agli adempimenti istruttori di cui innanzi nel termine di giorni sessanta (60) dalla comunicazione in via amministrativa della presente ordinanza a cura della Segreteria o, se anteriore, dalla notificazione a cura di parte</w:t>
      </w:r>
      <w:r w:rsidRPr="00C916DC">
        <w:rPr>
          <w:rFonts w:ascii="Times New Roman" w:hAnsi="Times New Roman"/>
          <w:bCs/>
          <w:szCs w:val="24"/>
        </w:rPr>
        <w:t>”, intimava alla Regione Abruzzo di provvedere agli adempimenti istruttori nei modi e nei termini perentori indicati e rinviava per il prosieguo alla camera di consiglio del 13 marzo 2026.</w:t>
      </w:r>
    </w:p>
    <w:p w14:paraId="0AD06681" w14:textId="73F5F269" w:rsidR="00FF556E" w:rsidRPr="00C916DC" w:rsidRDefault="0023653F" w:rsidP="00FF556E">
      <w:pPr>
        <w:autoSpaceDE w:val="0"/>
        <w:autoSpaceDN w:val="0"/>
        <w:adjustRightInd w:val="0"/>
        <w:ind w:firstLine="567"/>
        <w:rPr>
          <w:rFonts w:ascii="Times New Roman" w:hAnsi="Times New Roman"/>
          <w:bCs/>
          <w:szCs w:val="24"/>
        </w:rPr>
      </w:pPr>
      <w:r w:rsidRPr="00C916DC">
        <w:rPr>
          <w:rFonts w:ascii="Times New Roman" w:hAnsi="Times New Roman"/>
          <w:bCs/>
          <w:szCs w:val="24"/>
        </w:rPr>
        <w:t>All’esito dell’udienza del 27 marzo 2026, con ordinanza n. 177/2026 pubblicata il 3 aprile 2026, il TAR Abruzzo, “</w:t>
      </w:r>
      <w:r w:rsidRPr="00C916DC">
        <w:rPr>
          <w:rFonts w:ascii="Times New Roman" w:hAnsi="Times New Roman"/>
          <w:bCs/>
          <w:i/>
          <w:iCs/>
          <w:szCs w:val="24"/>
        </w:rPr>
        <w:t>Ritenuti necessari, ai fini del decidere, ulteriori approfondimenti istruttori; visto l’art. 1, comma 5 della Legge 06/12/1991, n. 394 in base al quale “Nella tutela e nella gestione delle aree naturali protette, lo Stato, le Regioni e gli enti locali attuano forme di cooperazione e di intesa ai sensi dell'art. 81 del decreto del Presidente della Repubblica 24 luglio 1977, n. 616, e dell'art. 27 della legge 8 giugno 1990, n. 142</w:t>
      </w:r>
      <w:r w:rsidRPr="00C916DC">
        <w:rPr>
          <w:rFonts w:ascii="Times New Roman" w:hAnsi="Times New Roman"/>
          <w:bCs/>
          <w:szCs w:val="24"/>
        </w:rPr>
        <w:t>”, ha ritenuto sussistente, in base alla surrichiamata previsione normativa, in capo a tutti gli enti a vario titolo coinvolti nella protezione dei beni ambientali e nella tutela dell’assetto del territorio un “</w:t>
      </w:r>
      <w:r w:rsidRPr="00C916DC">
        <w:rPr>
          <w:rFonts w:ascii="Times New Roman" w:hAnsi="Times New Roman"/>
          <w:bCs/>
          <w:i/>
          <w:iCs/>
          <w:szCs w:val="24"/>
        </w:rPr>
        <w:t>dovere di leale collaborazione</w:t>
      </w:r>
      <w:r w:rsidRPr="00C916DC">
        <w:rPr>
          <w:rFonts w:ascii="Times New Roman" w:hAnsi="Times New Roman"/>
          <w:bCs/>
          <w:szCs w:val="24"/>
        </w:rPr>
        <w:t>”</w:t>
      </w:r>
      <w:r w:rsidR="001A47B3" w:rsidRPr="00C916DC">
        <w:rPr>
          <w:rFonts w:ascii="Times New Roman" w:hAnsi="Times New Roman"/>
          <w:bCs/>
          <w:szCs w:val="24"/>
        </w:rPr>
        <w:t>,</w:t>
      </w:r>
      <w:r w:rsidRPr="00C916DC">
        <w:rPr>
          <w:rFonts w:ascii="Times New Roman" w:hAnsi="Times New Roman"/>
          <w:bCs/>
          <w:szCs w:val="24"/>
        </w:rPr>
        <w:t xml:space="preserve"> atteso che le regioni e gli enti locali sono tenuti “</w:t>
      </w:r>
      <w:r w:rsidRPr="00C916DC">
        <w:rPr>
          <w:rFonts w:ascii="Times New Roman" w:hAnsi="Times New Roman"/>
          <w:bCs/>
          <w:i/>
          <w:iCs/>
          <w:szCs w:val="24"/>
        </w:rPr>
        <w:t xml:space="preserve">ad attuare congiuntamente all’Amministrazione Statale forme di cooperazione ed intese per partecipare alla tutela ed alla gestione delle aree naturali ed ancor prima alla loro delimitazione” (TAR Lazio, sentenza 28 giugno 2021, n. 7694); ritenuto che il coinvolgimento degli enti locali interessati, oltre che della Regione nel cui territorio ricade il perimetro del parco nazionale, rappresenta, nell’ottica della più ampia cooperazione tra i vari livelli governo, uno snodo procedimentale essenziale nell’ambito del procedimento istitutivo dei parchi nazionali, che assume </w:t>
      </w:r>
      <w:r w:rsidRPr="00C916DC">
        <w:rPr>
          <w:rFonts w:ascii="Times New Roman" w:hAnsi="Times New Roman"/>
          <w:bCs/>
          <w:i/>
          <w:iCs/>
          <w:szCs w:val="24"/>
        </w:rPr>
        <w:lastRenderedPageBreak/>
        <w:t>rilevanza già nella fase di competenza del Ministro dell'Ambiente volta all’adozione delle misure di salvaguardia necessarie per garantire la conservazione dello stato dei luoghi; ritenuto infatti che, come chiarito dalla giurisprudenza (TAR Liguria Sez. I, sentenza n. 642/2024), la definizione delle zone interne e della relativa disciplina interinale di salvaguardia, le quali incidono sulla materia urbanistico-edilizia che più direttamente interessa le comunità locali, non può prescindere dal dialogo con gli enti locali, come prescritto dall’art. 34, comma 3, della legge n. 394/1991 ed alla stregua dei principi generali di sussidiarietà e di leale collaborazione</w:t>
      </w:r>
      <w:r w:rsidRPr="00C916DC">
        <w:rPr>
          <w:rFonts w:ascii="Times New Roman" w:hAnsi="Times New Roman"/>
          <w:bCs/>
          <w:szCs w:val="24"/>
        </w:rPr>
        <w:t>”.</w:t>
      </w:r>
      <w:r w:rsidR="00FF556E" w:rsidRPr="00C916DC">
        <w:rPr>
          <w:rFonts w:ascii="Times New Roman" w:hAnsi="Times New Roman"/>
          <w:bCs/>
          <w:szCs w:val="24"/>
        </w:rPr>
        <w:t xml:space="preserve"> </w:t>
      </w:r>
    </w:p>
    <w:p w14:paraId="3F894429" w14:textId="57FC72E3" w:rsidR="00FF556E" w:rsidRPr="00C916DC" w:rsidRDefault="00FF556E" w:rsidP="00FF556E">
      <w:pPr>
        <w:autoSpaceDE w:val="0"/>
        <w:autoSpaceDN w:val="0"/>
        <w:adjustRightInd w:val="0"/>
        <w:ind w:firstLine="567"/>
        <w:rPr>
          <w:rFonts w:ascii="Times New Roman" w:hAnsi="Times New Roman"/>
          <w:bCs/>
          <w:szCs w:val="24"/>
        </w:rPr>
      </w:pPr>
      <w:r w:rsidRPr="00C916DC">
        <w:rPr>
          <w:rFonts w:ascii="Times New Roman" w:hAnsi="Times New Roman"/>
          <w:bCs/>
          <w:szCs w:val="24"/>
        </w:rPr>
        <w:t xml:space="preserve">Il TAR Abruzzo ha pertanto richiesto al MASE e alla Regione Abruzzo di fornire nel termine di giorni quarantacinque (45) documentati chiarimenti in ordine: </w:t>
      </w:r>
    </w:p>
    <w:p w14:paraId="1008AC71" w14:textId="183D5D47" w:rsidR="00FF556E" w:rsidRPr="00C916DC" w:rsidRDefault="00FF556E" w:rsidP="00FF556E">
      <w:pPr>
        <w:pStyle w:val="Default"/>
        <w:ind w:firstLine="567"/>
        <w:jc w:val="both"/>
        <w:rPr>
          <w:bCs/>
          <w:color w:val="auto"/>
        </w:rPr>
      </w:pPr>
      <w:r w:rsidRPr="00C916DC">
        <w:rPr>
          <w:bCs/>
          <w:color w:val="auto"/>
        </w:rPr>
        <w:t>1) alla esatta individuazione degli enti locali interessati alla istituzione del “Parco della Costa teatina” (ora denominato Parco della “Costa dei Trabocchi e Teatina”</w:t>
      </w:r>
      <w:r w:rsidR="001A47B3" w:rsidRPr="00C916DC">
        <w:rPr>
          <w:bCs/>
          <w:color w:val="auto"/>
        </w:rPr>
        <w:t>)</w:t>
      </w:r>
      <w:r w:rsidRPr="00C916DC">
        <w:rPr>
          <w:bCs/>
          <w:color w:val="auto"/>
        </w:rPr>
        <w:t xml:space="preserve"> </w:t>
      </w:r>
    </w:p>
    <w:p w14:paraId="37CC32D5" w14:textId="77777777" w:rsidR="00FF556E" w:rsidRPr="00C916DC" w:rsidRDefault="00FF556E" w:rsidP="00FF556E">
      <w:pPr>
        <w:pStyle w:val="Default"/>
        <w:ind w:firstLine="567"/>
        <w:jc w:val="both"/>
        <w:rPr>
          <w:bCs/>
          <w:color w:val="auto"/>
        </w:rPr>
      </w:pPr>
      <w:r w:rsidRPr="00C916DC">
        <w:rPr>
          <w:bCs/>
          <w:color w:val="auto"/>
        </w:rPr>
        <w:t xml:space="preserve">2) alle modalità di coinvolgimento degli enti locali come sopra individuati nella fase procedimentale volta all’adozione delle misure di salvaguardia; </w:t>
      </w:r>
    </w:p>
    <w:p w14:paraId="651E35FC" w14:textId="5ADB5DCA" w:rsidR="00FF556E" w:rsidRPr="00C916DC" w:rsidRDefault="001A47B3" w:rsidP="00FF556E">
      <w:pPr>
        <w:autoSpaceDE w:val="0"/>
        <w:autoSpaceDN w:val="0"/>
        <w:adjustRightInd w:val="0"/>
        <w:rPr>
          <w:rFonts w:ascii="Times New Roman" w:hAnsi="Times New Roman"/>
          <w:bCs/>
          <w:szCs w:val="24"/>
        </w:rPr>
      </w:pPr>
      <w:r w:rsidRPr="00C916DC">
        <w:rPr>
          <w:rFonts w:ascii="Times New Roman" w:hAnsi="Times New Roman"/>
          <w:bCs/>
          <w:szCs w:val="24"/>
        </w:rPr>
        <w:t xml:space="preserve">e ha </w:t>
      </w:r>
      <w:r w:rsidR="00FF556E" w:rsidRPr="00C916DC">
        <w:rPr>
          <w:rFonts w:ascii="Times New Roman" w:hAnsi="Times New Roman"/>
          <w:bCs/>
          <w:szCs w:val="24"/>
        </w:rPr>
        <w:t>rinvia</w:t>
      </w:r>
      <w:r w:rsidRPr="00C916DC">
        <w:rPr>
          <w:rFonts w:ascii="Times New Roman" w:hAnsi="Times New Roman"/>
          <w:bCs/>
          <w:szCs w:val="24"/>
        </w:rPr>
        <w:t>to</w:t>
      </w:r>
      <w:r w:rsidR="00FF556E" w:rsidRPr="00C916DC">
        <w:rPr>
          <w:rFonts w:ascii="Times New Roman" w:hAnsi="Times New Roman"/>
          <w:bCs/>
          <w:szCs w:val="24"/>
        </w:rPr>
        <w:t xml:space="preserve"> per il prosieguo della causa alla camera di consiglio del 12 giugno 2026.</w:t>
      </w:r>
    </w:p>
    <w:p w14:paraId="180F4F97" w14:textId="20542185" w:rsidR="00FF556E" w:rsidRPr="00C916DC" w:rsidRDefault="00FF556E" w:rsidP="0023653F">
      <w:pPr>
        <w:autoSpaceDE w:val="0"/>
        <w:autoSpaceDN w:val="0"/>
        <w:adjustRightInd w:val="0"/>
        <w:ind w:firstLine="567"/>
        <w:rPr>
          <w:rFonts w:ascii="Times New Roman" w:hAnsi="Times New Roman"/>
          <w:bCs/>
          <w:szCs w:val="24"/>
        </w:rPr>
      </w:pPr>
      <w:r w:rsidRPr="00C916DC">
        <w:rPr>
          <w:rFonts w:ascii="Times New Roman" w:hAnsi="Times New Roman"/>
          <w:bCs/>
          <w:szCs w:val="24"/>
        </w:rPr>
        <w:t xml:space="preserve">Al fine di dare ulteriore impulso al procedimento di istituzione, con nota prot. n. 90715 del 28 aprile </w:t>
      </w:r>
      <w:r w:rsidR="00653DFB" w:rsidRPr="00C916DC">
        <w:rPr>
          <w:rFonts w:ascii="Times New Roman" w:hAnsi="Times New Roman"/>
          <w:bCs/>
          <w:szCs w:val="24"/>
        </w:rPr>
        <w:t>2026</w:t>
      </w:r>
      <w:r w:rsidRPr="00C916DC">
        <w:rPr>
          <w:rFonts w:ascii="Times New Roman" w:hAnsi="Times New Roman"/>
          <w:bCs/>
          <w:szCs w:val="24"/>
        </w:rPr>
        <w:t xml:space="preserve"> </w:t>
      </w:r>
      <w:r w:rsidRPr="00C916DC">
        <w:rPr>
          <w:rFonts w:ascii="Times New Roman" w:hAnsi="Times New Roman"/>
          <w:b/>
          <w:szCs w:val="24"/>
        </w:rPr>
        <w:t>(</w:t>
      </w:r>
      <w:proofErr w:type="spellStart"/>
      <w:r w:rsidRPr="00C916DC">
        <w:rPr>
          <w:rFonts w:ascii="Times New Roman" w:hAnsi="Times New Roman"/>
          <w:b/>
          <w:szCs w:val="24"/>
        </w:rPr>
        <w:t>all</w:t>
      </w:r>
      <w:r w:rsidR="009154BF" w:rsidRPr="00C916DC">
        <w:rPr>
          <w:rFonts w:ascii="Times New Roman" w:hAnsi="Times New Roman"/>
          <w:b/>
          <w:szCs w:val="24"/>
        </w:rPr>
        <w:t>.</w:t>
      </w:r>
      <w:r w:rsidR="00404A30" w:rsidRPr="00C916DC">
        <w:rPr>
          <w:rFonts w:ascii="Times New Roman" w:hAnsi="Times New Roman"/>
          <w:b/>
          <w:szCs w:val="24"/>
        </w:rPr>
        <w:t>a</w:t>
      </w:r>
      <w:proofErr w:type="spellEnd"/>
      <w:r w:rsidR="009154BF" w:rsidRPr="00C916DC">
        <w:rPr>
          <w:rFonts w:ascii="Times New Roman" w:hAnsi="Times New Roman"/>
          <w:b/>
          <w:szCs w:val="24"/>
        </w:rPr>
        <w:t xml:space="preserve">) </w:t>
      </w:r>
      <w:r w:rsidRPr="00C916DC">
        <w:rPr>
          <w:rFonts w:ascii="Times New Roman" w:hAnsi="Times New Roman"/>
          <w:bCs/>
          <w:szCs w:val="24"/>
        </w:rPr>
        <w:t>si è proceduto a convocare la Regione Abruzzo e l’ISPRA in data 6 maggio 2026.</w:t>
      </w:r>
    </w:p>
    <w:p w14:paraId="76809D84" w14:textId="25700177" w:rsidR="001A47B3" w:rsidRPr="00C916DC" w:rsidRDefault="00FF556E" w:rsidP="00D029D9">
      <w:pPr>
        <w:autoSpaceDE w:val="0"/>
        <w:autoSpaceDN w:val="0"/>
        <w:adjustRightInd w:val="0"/>
        <w:ind w:firstLine="567"/>
        <w:rPr>
          <w:rFonts w:ascii="Times New Roman" w:hAnsi="Times New Roman"/>
          <w:bCs/>
          <w:szCs w:val="24"/>
        </w:rPr>
      </w:pPr>
      <w:r w:rsidRPr="00C916DC">
        <w:rPr>
          <w:rFonts w:ascii="Times New Roman" w:hAnsi="Times New Roman"/>
          <w:bCs/>
          <w:szCs w:val="24"/>
        </w:rPr>
        <w:t xml:space="preserve">La Regione Abruzzo, con prot. n. 191118/2026 dell’8 maggio 2026 </w:t>
      </w:r>
      <w:r w:rsidRPr="00C916DC">
        <w:rPr>
          <w:rFonts w:ascii="Times New Roman" w:hAnsi="Times New Roman"/>
          <w:b/>
          <w:szCs w:val="24"/>
        </w:rPr>
        <w:t>(</w:t>
      </w:r>
      <w:proofErr w:type="spellStart"/>
      <w:r w:rsidRPr="00C916DC">
        <w:rPr>
          <w:rFonts w:ascii="Times New Roman" w:hAnsi="Times New Roman"/>
          <w:b/>
          <w:szCs w:val="24"/>
        </w:rPr>
        <w:t>all.</w:t>
      </w:r>
      <w:r w:rsidR="00404A30" w:rsidRPr="00C916DC">
        <w:rPr>
          <w:rFonts w:ascii="Times New Roman" w:hAnsi="Times New Roman"/>
          <w:b/>
          <w:szCs w:val="24"/>
        </w:rPr>
        <w:t>b</w:t>
      </w:r>
      <w:proofErr w:type="spellEnd"/>
      <w:r w:rsidRPr="00C916DC">
        <w:rPr>
          <w:rFonts w:ascii="Times New Roman" w:hAnsi="Times New Roman"/>
          <w:b/>
          <w:szCs w:val="24"/>
        </w:rPr>
        <w:t>)</w:t>
      </w:r>
      <w:r w:rsidRPr="00C916DC">
        <w:rPr>
          <w:rFonts w:ascii="Times New Roman" w:hAnsi="Times New Roman"/>
          <w:bCs/>
          <w:szCs w:val="24"/>
        </w:rPr>
        <w:t xml:space="preserve"> ha trasmesso all’Avvocatura distrettuale dello Stato dell’Aquila una proposta di perimetrazione </w:t>
      </w:r>
      <w:r w:rsidR="001A47B3" w:rsidRPr="00C916DC">
        <w:rPr>
          <w:rFonts w:ascii="Times New Roman" w:hAnsi="Times New Roman"/>
          <w:bCs/>
          <w:szCs w:val="24"/>
        </w:rPr>
        <w:t>interessante il territorio di</w:t>
      </w:r>
      <w:r w:rsidRPr="00C916DC">
        <w:rPr>
          <w:rFonts w:ascii="Times New Roman" w:hAnsi="Times New Roman"/>
          <w:bCs/>
          <w:szCs w:val="24"/>
        </w:rPr>
        <w:t xml:space="preserve"> n. 8 Comuni (Ortona, San Vito Chietino, Rocca San Giovanni, Fossacesia, Torino di Sangro, Casalbordino, Vasto e San Salvo). </w:t>
      </w:r>
    </w:p>
    <w:p w14:paraId="431A1E8C" w14:textId="3DDA96F3" w:rsidR="00D029D9" w:rsidRPr="00C916DC" w:rsidRDefault="00324303" w:rsidP="00D029D9">
      <w:pPr>
        <w:autoSpaceDE w:val="0"/>
        <w:autoSpaceDN w:val="0"/>
        <w:adjustRightInd w:val="0"/>
        <w:ind w:firstLine="567"/>
        <w:rPr>
          <w:rFonts w:ascii="Times New Roman" w:hAnsi="Times New Roman"/>
          <w:bCs/>
          <w:szCs w:val="24"/>
        </w:rPr>
      </w:pPr>
      <w:r w:rsidRPr="00C916DC">
        <w:rPr>
          <w:rFonts w:ascii="Times New Roman" w:hAnsi="Times New Roman"/>
          <w:bCs/>
          <w:szCs w:val="24"/>
        </w:rPr>
        <w:t xml:space="preserve">La </w:t>
      </w:r>
      <w:r w:rsidR="00FF556E" w:rsidRPr="00C916DC">
        <w:rPr>
          <w:rFonts w:ascii="Times New Roman" w:hAnsi="Times New Roman"/>
          <w:bCs/>
          <w:szCs w:val="24"/>
        </w:rPr>
        <w:t>Direzione</w:t>
      </w:r>
      <w:r w:rsidRPr="00C916DC">
        <w:rPr>
          <w:rFonts w:ascii="Times New Roman" w:hAnsi="Times New Roman"/>
          <w:bCs/>
          <w:szCs w:val="24"/>
        </w:rPr>
        <w:t xml:space="preserve"> generale tutela della biodiversità e del mare (TBM)</w:t>
      </w:r>
      <w:r w:rsidR="00FF556E" w:rsidRPr="00C916DC">
        <w:rPr>
          <w:rFonts w:ascii="Times New Roman" w:hAnsi="Times New Roman"/>
          <w:bCs/>
          <w:szCs w:val="24"/>
        </w:rPr>
        <w:t xml:space="preserve">, presa visione della suddetta nota regionale, nonché della nota dell’ISPRA prot. n. 25780 dell’11 maggio 2026 </w:t>
      </w:r>
      <w:r w:rsidR="00FF556E" w:rsidRPr="00C916DC">
        <w:rPr>
          <w:rFonts w:ascii="Times New Roman" w:hAnsi="Times New Roman"/>
          <w:b/>
          <w:szCs w:val="24"/>
        </w:rPr>
        <w:t>(</w:t>
      </w:r>
      <w:proofErr w:type="spellStart"/>
      <w:r w:rsidR="00FF556E" w:rsidRPr="00C916DC">
        <w:rPr>
          <w:rFonts w:ascii="Times New Roman" w:hAnsi="Times New Roman"/>
          <w:b/>
          <w:szCs w:val="24"/>
        </w:rPr>
        <w:t>all.</w:t>
      </w:r>
      <w:r w:rsidR="00404A30" w:rsidRPr="00C916DC">
        <w:rPr>
          <w:rFonts w:ascii="Times New Roman" w:hAnsi="Times New Roman"/>
          <w:b/>
          <w:szCs w:val="24"/>
        </w:rPr>
        <w:t>c</w:t>
      </w:r>
      <w:proofErr w:type="spellEnd"/>
      <w:r w:rsidR="00FF556E" w:rsidRPr="00C916DC">
        <w:rPr>
          <w:rFonts w:ascii="Times New Roman" w:hAnsi="Times New Roman"/>
          <w:b/>
          <w:szCs w:val="24"/>
        </w:rPr>
        <w:t>),</w:t>
      </w:r>
      <w:r w:rsidR="00FF556E" w:rsidRPr="00C916DC">
        <w:rPr>
          <w:rFonts w:ascii="Times New Roman" w:hAnsi="Times New Roman"/>
          <w:bCs/>
          <w:szCs w:val="24"/>
        </w:rPr>
        <w:t xml:space="preserve"> ha proceduto a fornire al TAR Abruzzo, in adempimento dell’ordinanza n. 177/2026, i chiarimenti richiesti, confermando, allo stato, l’elenco dei comuni sulla base della proposta di perimetrazione redatta dall’ISPRA nel 2022.</w:t>
      </w:r>
    </w:p>
    <w:p w14:paraId="51E29C41" w14:textId="5220024C" w:rsidR="00D029D9" w:rsidRPr="00C916DC" w:rsidRDefault="00D029D9" w:rsidP="00D029D9">
      <w:pPr>
        <w:autoSpaceDE w:val="0"/>
        <w:autoSpaceDN w:val="0"/>
        <w:adjustRightInd w:val="0"/>
        <w:ind w:firstLine="567"/>
        <w:rPr>
          <w:rFonts w:ascii="Times New Roman" w:hAnsi="Times New Roman"/>
          <w:bCs/>
          <w:szCs w:val="24"/>
        </w:rPr>
      </w:pPr>
      <w:r w:rsidRPr="00C916DC">
        <w:rPr>
          <w:rFonts w:ascii="Times New Roman" w:hAnsi="Times New Roman"/>
          <w:bCs/>
          <w:szCs w:val="24"/>
        </w:rPr>
        <w:t xml:space="preserve">Con l’allegata sentenza n. 335/2026, notificata il 1° luglio 2026, acquisita con prot. n. 138371 </w:t>
      </w:r>
      <w:r w:rsidRPr="00C916DC">
        <w:rPr>
          <w:rFonts w:ascii="Times New Roman" w:hAnsi="Times New Roman"/>
          <w:b/>
          <w:szCs w:val="24"/>
        </w:rPr>
        <w:t>(</w:t>
      </w:r>
      <w:proofErr w:type="spellStart"/>
      <w:r w:rsidRPr="00C916DC">
        <w:rPr>
          <w:rFonts w:ascii="Times New Roman" w:hAnsi="Times New Roman"/>
          <w:b/>
          <w:szCs w:val="24"/>
        </w:rPr>
        <w:t>all.</w:t>
      </w:r>
      <w:r w:rsidR="00404A30" w:rsidRPr="00C916DC">
        <w:rPr>
          <w:rFonts w:ascii="Times New Roman" w:hAnsi="Times New Roman"/>
          <w:b/>
          <w:szCs w:val="24"/>
        </w:rPr>
        <w:t>d</w:t>
      </w:r>
      <w:proofErr w:type="spellEnd"/>
      <w:r w:rsidRPr="00C916DC">
        <w:rPr>
          <w:rFonts w:ascii="Times New Roman" w:hAnsi="Times New Roman"/>
          <w:b/>
          <w:szCs w:val="24"/>
        </w:rPr>
        <w:t>),</w:t>
      </w:r>
      <w:r w:rsidRPr="00C916DC">
        <w:rPr>
          <w:rFonts w:ascii="Times New Roman" w:hAnsi="Times New Roman"/>
          <w:bCs/>
          <w:szCs w:val="24"/>
        </w:rPr>
        <w:t xml:space="preserve"> il TAR Abruzzo, Sez. I, si è pronunciato in merito chiarendo preliminarmente che, in base al modello generale delineato dalla legge n. 394</w:t>
      </w:r>
      <w:r w:rsidR="001A47B3" w:rsidRPr="00C916DC">
        <w:rPr>
          <w:rFonts w:ascii="Times New Roman" w:hAnsi="Times New Roman"/>
          <w:bCs/>
          <w:szCs w:val="24"/>
        </w:rPr>
        <w:t xml:space="preserve"> del 1991</w:t>
      </w:r>
      <w:r w:rsidRPr="00C916DC">
        <w:rPr>
          <w:rFonts w:ascii="Times New Roman" w:hAnsi="Times New Roman"/>
          <w:bCs/>
          <w:szCs w:val="24"/>
        </w:rPr>
        <w:t xml:space="preserve">, il procedimento di definizione del territorio compreso in un Parco nazionale si articola in due distinte fasi: </w:t>
      </w:r>
    </w:p>
    <w:p w14:paraId="63AE3A8C" w14:textId="77777777" w:rsidR="00D029D9" w:rsidRPr="00C916DC" w:rsidRDefault="00D029D9" w:rsidP="00D029D9">
      <w:pPr>
        <w:pStyle w:val="Corpodeltesto1"/>
        <w:numPr>
          <w:ilvl w:val="0"/>
          <w:numId w:val="32"/>
        </w:numPr>
        <w:spacing w:before="120"/>
        <w:ind w:left="426" w:hanging="426"/>
        <w:rPr>
          <w:rFonts w:ascii="Times New Roman" w:hAnsi="Times New Roman"/>
          <w:b w:val="0"/>
          <w:bCs/>
          <w:szCs w:val="24"/>
        </w:rPr>
      </w:pPr>
      <w:r w:rsidRPr="00C916DC">
        <w:rPr>
          <w:rFonts w:ascii="Times New Roman" w:hAnsi="Times New Roman"/>
          <w:b w:val="0"/>
          <w:bCs/>
          <w:szCs w:val="24"/>
        </w:rPr>
        <w:t>in una prima fase, di carattere cautelare ed eventuale, il Ministero dell’ambiente provvede alla perimetrazione provvisoria sulla base degli elementi conoscitivi e scientifici disponibili presso i servizi tecnici nazionali e regionali e, sentiti la regione e gli enti locali territorialmente interessati, adotta le misure di salvaguardia necessarie per garantire la conservazione dello stato dei luoghi (art. 34, comma 3); sino alla costituzione degli Enti parco, la gestione provvisoria del parco è affidata ad un apposito comitato di gestione istituito dal Ministro dell'ambiente. In questa prima fase “</w:t>
      </w:r>
      <w:r w:rsidRPr="00C916DC">
        <w:rPr>
          <w:rFonts w:ascii="Times New Roman" w:hAnsi="Times New Roman"/>
          <w:b w:val="0"/>
          <w:bCs/>
          <w:i/>
          <w:iCs/>
          <w:szCs w:val="24"/>
        </w:rPr>
        <w:t>il Ministero esercita una discrezionalità tecnica, trattandosi di individuare, alla stregua di canoni scientifico-specialistici, l’area territoriale di potenziale pregio ed interesse ambientale, in vista della sua immediata tutela in via cautelare fino alla perimetrazione definitiva ed è tenuto a consultare le regioni e gli enti locali interessati, i quali sono, ex lege, chiamati e titolati a fornire il loro contributo partecipativo, riguardo alle misure di salvaguardia necessarie per garantire la conservazione dello stato dei luoghi nonché alla zonizzazione interna ai confini provvisori del parco nazionale. Il coinvolgimento degli enti locali interessati, oltre che della regione, nel cui territorio ricade il perimetro del parco nazionale rappresenta, nell’ottica della più ampia cooperazione tra i vari livelli governo, uno snodo procedimentale essenziale nell’ambito del procedimento istitutivo dei parchi nazionali, che assume pertanto rilevanza già nella fase di competenza del Ministro dell'ambiente volta all’adozione delle misure di salvaguardia necessarie per garantire la conservazione dello stato dei luoghi</w:t>
      </w:r>
      <w:r w:rsidRPr="00C916DC">
        <w:rPr>
          <w:rFonts w:ascii="Times New Roman" w:hAnsi="Times New Roman"/>
          <w:b w:val="0"/>
          <w:bCs/>
          <w:szCs w:val="24"/>
        </w:rPr>
        <w:t>.”;</w:t>
      </w:r>
    </w:p>
    <w:p w14:paraId="2B620E79" w14:textId="77777777" w:rsidR="009700BF" w:rsidRPr="00C916DC" w:rsidRDefault="00D029D9" w:rsidP="009700BF">
      <w:pPr>
        <w:pStyle w:val="Corpodeltesto1"/>
        <w:numPr>
          <w:ilvl w:val="0"/>
          <w:numId w:val="32"/>
        </w:numPr>
        <w:spacing w:before="120"/>
        <w:ind w:left="426" w:hanging="426"/>
        <w:rPr>
          <w:rFonts w:ascii="Times New Roman" w:hAnsi="Times New Roman"/>
          <w:b w:val="0"/>
          <w:szCs w:val="24"/>
        </w:rPr>
      </w:pPr>
      <w:r w:rsidRPr="00C916DC">
        <w:rPr>
          <w:rFonts w:ascii="Times New Roman" w:hAnsi="Times New Roman"/>
          <w:b w:val="0"/>
          <w:szCs w:val="24"/>
        </w:rPr>
        <w:t xml:space="preserve">nella seconda fase, la delimitazione in via definitiva è stabilita con decreto del Presidente della Repubblica, adottato su proposta del Ministro dell'ambiente, d’intesa con la regione (art. 2, comma 7). In questa fase “ </w:t>
      </w:r>
      <w:r w:rsidRPr="00C916DC">
        <w:rPr>
          <w:rFonts w:ascii="Times New Roman" w:hAnsi="Times New Roman"/>
          <w:b w:val="0"/>
          <w:i/>
          <w:iCs/>
          <w:szCs w:val="24"/>
        </w:rPr>
        <w:t xml:space="preserve">caratterizzata dall’intesa tra Stato e regione recepita nel DPR istitutivo del parco nazionale, il potere amministrativo è espressione di discrezionalità mista, perché all’apprezzamento tecnico-scientifico si affiancano valutazioni di tipo squisitamente politico-amministrativo, comportanti una ponderazione comparativa fra l’interesse pubblico c.d. </w:t>
      </w:r>
      <w:r w:rsidRPr="00C916DC">
        <w:rPr>
          <w:rFonts w:ascii="Times New Roman" w:hAnsi="Times New Roman"/>
          <w:b w:val="0"/>
          <w:i/>
          <w:iCs/>
          <w:szCs w:val="24"/>
        </w:rPr>
        <w:lastRenderedPageBreak/>
        <w:t>primario, relativo alla conservazione e valorizzazione del patrimonio naturale del Paese, e gli interessi (eventualmente di segno contrario) pubblici c.d. secondari, collettivi e privati, fra i quali quelli delle comunità locali</w:t>
      </w:r>
      <w:r w:rsidRPr="00C916DC">
        <w:rPr>
          <w:rFonts w:ascii="Times New Roman" w:hAnsi="Times New Roman"/>
          <w:b w:val="0"/>
          <w:szCs w:val="24"/>
        </w:rPr>
        <w:t>”. “</w:t>
      </w:r>
      <w:r w:rsidRPr="00C916DC">
        <w:rPr>
          <w:rFonts w:ascii="Times New Roman" w:hAnsi="Times New Roman"/>
          <w:b w:val="0"/>
          <w:i/>
          <w:iCs/>
          <w:szCs w:val="24"/>
        </w:rPr>
        <w:t>L’intesa tra lo Stato e la regione, prescritta dall’art. 2, comma 7, della legge n. 394/1991 soltanto nella seconda fase, costituisce uno strumento di raccordo che, secondo la consolidata giurisprudenza costituzionale, non può tradursi in un potere di veto in grado di paralizzare a tempo indeterminato l'esercizio di una competenza statale, specie quando questa attiene alla tutela di interessi unitari e indivisibili come quello ambientale (vedi Corte Cost., sentenza n. 12 del 28 gennaio 2009; in tali termini, T.A.R. Catania, sentenza 09/06/2026, n. 1681).</w:t>
      </w:r>
      <w:r w:rsidRPr="00C916DC">
        <w:rPr>
          <w:rFonts w:ascii="Times New Roman" w:hAnsi="Times New Roman"/>
          <w:b w:val="0"/>
          <w:szCs w:val="24"/>
        </w:rPr>
        <w:t xml:space="preserve">” </w:t>
      </w:r>
    </w:p>
    <w:p w14:paraId="21669EEA" w14:textId="7C9CEDF7" w:rsidR="00B75EB4" w:rsidRPr="00C916DC" w:rsidRDefault="00D029D9" w:rsidP="009700BF">
      <w:pPr>
        <w:pStyle w:val="Corpodeltesto1"/>
        <w:spacing w:before="120"/>
        <w:ind w:firstLine="426"/>
        <w:rPr>
          <w:rFonts w:ascii="Times New Roman" w:hAnsi="Times New Roman"/>
          <w:b w:val="0"/>
          <w:szCs w:val="24"/>
        </w:rPr>
      </w:pPr>
      <w:r w:rsidRPr="00C916DC">
        <w:rPr>
          <w:rFonts w:ascii="Times New Roman" w:hAnsi="Times New Roman"/>
          <w:b w:val="0"/>
          <w:szCs w:val="24"/>
        </w:rPr>
        <w:t xml:space="preserve">Il TAR conclude ordinando al MASE </w:t>
      </w:r>
      <w:r w:rsidR="009700BF" w:rsidRPr="00C916DC">
        <w:rPr>
          <w:rFonts w:ascii="Times New Roman" w:hAnsi="Times New Roman"/>
          <w:b w:val="0"/>
          <w:i/>
          <w:iCs/>
          <w:szCs w:val="24"/>
        </w:rPr>
        <w:t>“di provvedere nel termine complessivo di 90 (novanta) giorni dalla comunicazione in via amministrativa della presente sentenza o dalla sua notifica, se anteriore, alla delimitazione provvisoria del Parco, nonché all’adozione delle misure di salvaguardia necessarie a garantire la conservazione dello stato dei luoghi e alla costituzione del soggetto di gestione provvisoria dell'Area protetta nazionale, nel rispetto dei principi come sopra richiamati. In caso di ulteriore inerzia nel provvedere entro il detto termine sarà nominato un Commissario ad acta da individuarsi a seguito di apposita istanza della parte Interessata”.</w:t>
      </w:r>
    </w:p>
    <w:p w14:paraId="1897A1F9" w14:textId="25E67057" w:rsidR="00B75EB4" w:rsidRPr="00C916DC" w:rsidRDefault="00B75EB4" w:rsidP="00B75EB4">
      <w:pPr>
        <w:autoSpaceDE w:val="0"/>
        <w:autoSpaceDN w:val="0"/>
        <w:adjustRightInd w:val="0"/>
        <w:ind w:firstLine="567"/>
        <w:rPr>
          <w:rFonts w:ascii="Times New Roman" w:hAnsi="Times New Roman"/>
          <w:bCs/>
          <w:szCs w:val="24"/>
        </w:rPr>
      </w:pPr>
      <w:r w:rsidRPr="00C916DC">
        <w:rPr>
          <w:rFonts w:ascii="Times New Roman" w:hAnsi="Times New Roman"/>
          <w:szCs w:val="24"/>
        </w:rPr>
        <w:t xml:space="preserve">Alla luce di quanto disposto dal TAR Abruzzo con tale sentenza n. 335/2026 e di quanto previsto dal comma 3 dell’art. 34 della legge n. 394/91, con nota prot. n. 133751 del 24 giugno </w:t>
      </w:r>
      <w:r w:rsidR="00A30F52" w:rsidRPr="00C916DC">
        <w:rPr>
          <w:rFonts w:ascii="Times New Roman" w:hAnsi="Times New Roman"/>
          <w:szCs w:val="24"/>
        </w:rPr>
        <w:t>2026</w:t>
      </w:r>
      <w:r w:rsidRPr="00C916DC">
        <w:rPr>
          <w:rFonts w:ascii="Times New Roman" w:hAnsi="Times New Roman"/>
          <w:szCs w:val="24"/>
        </w:rPr>
        <w:t xml:space="preserve"> (</w:t>
      </w:r>
      <w:proofErr w:type="spellStart"/>
      <w:r w:rsidRPr="00C916DC">
        <w:rPr>
          <w:rFonts w:ascii="Times New Roman" w:hAnsi="Times New Roman"/>
          <w:b/>
          <w:bCs/>
          <w:szCs w:val="24"/>
        </w:rPr>
        <w:t>all.</w:t>
      </w:r>
      <w:r w:rsidR="00404A30" w:rsidRPr="00C916DC">
        <w:rPr>
          <w:rFonts w:ascii="Times New Roman" w:hAnsi="Times New Roman"/>
          <w:b/>
          <w:bCs/>
          <w:szCs w:val="24"/>
        </w:rPr>
        <w:t>e</w:t>
      </w:r>
      <w:proofErr w:type="spellEnd"/>
      <w:r w:rsidRPr="00C916DC">
        <w:rPr>
          <w:rFonts w:ascii="Times New Roman" w:hAnsi="Times New Roman"/>
          <w:szCs w:val="24"/>
        </w:rPr>
        <w:t xml:space="preserve">), la scrivente Direzione generale ha avviato il procedimento e richiesto all’ISPRA: </w:t>
      </w:r>
    </w:p>
    <w:p w14:paraId="7996F1C2" w14:textId="77777777" w:rsidR="00B75EB4" w:rsidRPr="00C916DC" w:rsidRDefault="00B75EB4" w:rsidP="00B75EB4">
      <w:pPr>
        <w:pStyle w:val="Default"/>
        <w:numPr>
          <w:ilvl w:val="0"/>
          <w:numId w:val="34"/>
        </w:numPr>
        <w:spacing w:after="147"/>
        <w:ind w:left="426" w:hanging="284"/>
        <w:jc w:val="both"/>
      </w:pPr>
      <w:r w:rsidRPr="00C916DC">
        <w:t xml:space="preserve">di voler procedere a una puntuale verifica e all’eventuale aggiornamento, in base allo stato attuale delle conoscenze tecnico-scientifiche, della proposta di perimetrazione e zonazione del Parco già elaborata, trasmessa e acquisita con nota prot. MASE n. 163035 del 23 dicembre 2022; </w:t>
      </w:r>
    </w:p>
    <w:p w14:paraId="48CF2176" w14:textId="69C9B0F7" w:rsidR="00B75EB4" w:rsidRPr="00C916DC" w:rsidRDefault="00B75EB4" w:rsidP="00B75EB4">
      <w:pPr>
        <w:pStyle w:val="Default"/>
        <w:numPr>
          <w:ilvl w:val="0"/>
          <w:numId w:val="34"/>
        </w:numPr>
        <w:spacing w:after="147"/>
        <w:ind w:left="426" w:hanging="284"/>
        <w:jc w:val="both"/>
      </w:pPr>
      <w:r w:rsidRPr="00C916DC">
        <w:t xml:space="preserve">di inoltrare a questa Direzione generale, in tempo utile per il rispetto del termine fissato dal TAR Abruzzo per la conclusione del procedimento, una proposta tecnica aggiornata di perimetrazione e zonazione provvisoria del Parco nazionale e le correlate misure di salvaguardia, comprensive delle eventuali necessarie integrazioni o aggiornamenti utili a garantire la coerenza con gli obiettivi di tutela ambientale e di conservazione dello stato dei luoghi. </w:t>
      </w:r>
    </w:p>
    <w:p w14:paraId="463BE655" w14:textId="3B31CC7A" w:rsidR="00B75EB4" w:rsidRPr="00C916DC" w:rsidRDefault="00B75EB4" w:rsidP="00B75EB4">
      <w:pPr>
        <w:autoSpaceDE w:val="0"/>
        <w:autoSpaceDN w:val="0"/>
        <w:adjustRightInd w:val="0"/>
        <w:ind w:firstLine="567"/>
        <w:rPr>
          <w:rFonts w:ascii="TimesNewRoman" w:hAnsi="TimesNewRoman" w:cs="TimesNewRoman"/>
          <w:szCs w:val="24"/>
        </w:rPr>
      </w:pPr>
      <w:r w:rsidRPr="00C916DC">
        <w:rPr>
          <w:rFonts w:ascii="Times New Roman" w:hAnsi="Times New Roman"/>
          <w:color w:val="000000"/>
          <w:szCs w:val="24"/>
        </w:rPr>
        <w:t>Con nota prot. n. 37702/2026 del 2</w:t>
      </w:r>
      <w:r w:rsidR="00740682" w:rsidRPr="00C916DC">
        <w:rPr>
          <w:rFonts w:ascii="Times New Roman" w:hAnsi="Times New Roman"/>
          <w:color w:val="000000"/>
          <w:szCs w:val="24"/>
        </w:rPr>
        <w:t xml:space="preserve"> luglio </w:t>
      </w:r>
      <w:r w:rsidRPr="00C916DC">
        <w:rPr>
          <w:rFonts w:ascii="Times New Roman" w:hAnsi="Times New Roman"/>
          <w:color w:val="000000"/>
          <w:szCs w:val="24"/>
        </w:rPr>
        <w:t xml:space="preserve">2026 acquisita al prot. n. 140403 in </w:t>
      </w:r>
      <w:r w:rsidR="00740682" w:rsidRPr="00C916DC">
        <w:rPr>
          <w:rFonts w:ascii="Times New Roman" w:hAnsi="Times New Roman"/>
          <w:color w:val="000000"/>
          <w:szCs w:val="24"/>
        </w:rPr>
        <w:t xml:space="preserve">pari </w:t>
      </w:r>
      <w:r w:rsidRPr="00C916DC">
        <w:rPr>
          <w:rFonts w:ascii="Times New Roman" w:hAnsi="Times New Roman"/>
          <w:color w:val="000000"/>
          <w:szCs w:val="24"/>
        </w:rPr>
        <w:t xml:space="preserve">data </w:t>
      </w:r>
      <w:r w:rsidRPr="00C916DC">
        <w:rPr>
          <w:rFonts w:ascii="Times New Roman" w:hAnsi="Times New Roman"/>
          <w:b/>
          <w:bCs/>
          <w:color w:val="000000"/>
          <w:szCs w:val="24"/>
        </w:rPr>
        <w:t>(</w:t>
      </w:r>
      <w:proofErr w:type="spellStart"/>
      <w:r w:rsidRPr="00C916DC">
        <w:rPr>
          <w:rFonts w:ascii="Times New Roman" w:hAnsi="Times New Roman"/>
          <w:b/>
          <w:bCs/>
          <w:color w:val="000000"/>
          <w:szCs w:val="24"/>
        </w:rPr>
        <w:t>all.</w:t>
      </w:r>
      <w:r w:rsidR="00404A30" w:rsidRPr="00C916DC">
        <w:rPr>
          <w:rFonts w:ascii="Times New Roman" w:hAnsi="Times New Roman"/>
          <w:b/>
          <w:bCs/>
          <w:color w:val="000000"/>
          <w:szCs w:val="24"/>
        </w:rPr>
        <w:t>f</w:t>
      </w:r>
      <w:proofErr w:type="spellEnd"/>
      <w:r w:rsidRPr="00C916DC">
        <w:rPr>
          <w:rFonts w:ascii="Times New Roman" w:hAnsi="Times New Roman"/>
          <w:b/>
          <w:bCs/>
          <w:color w:val="000000"/>
          <w:szCs w:val="24"/>
        </w:rPr>
        <w:t>)</w:t>
      </w:r>
      <w:r w:rsidRPr="00C916DC">
        <w:rPr>
          <w:rFonts w:ascii="Times New Roman" w:hAnsi="Times New Roman"/>
          <w:color w:val="000000"/>
          <w:szCs w:val="24"/>
        </w:rPr>
        <w:t xml:space="preserve"> </w:t>
      </w:r>
      <w:r w:rsidR="00853940" w:rsidRPr="00C916DC">
        <w:rPr>
          <w:rFonts w:ascii="TimesNewRoman" w:hAnsi="TimesNewRoman" w:cs="TimesNewRoman"/>
          <w:szCs w:val="24"/>
        </w:rPr>
        <w:t>l’Istituto superiore per la protezione e la ricerca</w:t>
      </w:r>
      <w:r w:rsidRPr="00C916DC">
        <w:rPr>
          <w:rFonts w:ascii="TimesNewRoman" w:hAnsi="TimesNewRoman" w:cs="TimesNewRoman"/>
          <w:szCs w:val="24"/>
        </w:rPr>
        <w:t xml:space="preserve"> </w:t>
      </w:r>
      <w:r w:rsidR="00853940" w:rsidRPr="00C916DC">
        <w:rPr>
          <w:rFonts w:ascii="TimesNewRoman" w:hAnsi="TimesNewRoman" w:cs="TimesNewRoman"/>
          <w:szCs w:val="24"/>
        </w:rPr>
        <w:t xml:space="preserve">ambientale (ISPRA) con riferimento </w:t>
      </w:r>
      <w:r w:rsidRPr="00C916DC">
        <w:rPr>
          <w:rFonts w:ascii="TimesNewRoman" w:hAnsi="TimesNewRoman" w:cs="TimesNewRoman"/>
          <w:szCs w:val="24"/>
        </w:rPr>
        <w:t xml:space="preserve">al </w:t>
      </w:r>
      <w:r w:rsidRPr="00C916DC">
        <w:rPr>
          <w:rFonts w:ascii="Times New Roman" w:hAnsi="Times New Roman"/>
          <w:color w:val="000000"/>
          <w:szCs w:val="24"/>
        </w:rPr>
        <w:t xml:space="preserve">procedimento per l’istituzione del Parco Nazionale della Costa dei Trabocchi e Teatina, ha chiesto rispettivamente ai </w:t>
      </w:r>
      <w:r w:rsidRPr="00C916DC">
        <w:rPr>
          <w:rFonts w:ascii="TimesNewRoman" w:hAnsi="TimesNewRoman" w:cs="TimesNewRoman"/>
          <w:szCs w:val="24"/>
        </w:rPr>
        <w:t xml:space="preserve">Comuni di San vito Chietino, Ortona, Casalbordino e Vasto, di poter acquisire la documentazione e gli </w:t>
      </w:r>
      <w:proofErr w:type="spellStart"/>
      <w:r w:rsidRPr="00C916DC">
        <w:rPr>
          <w:rFonts w:ascii="TimesNewRoman" w:hAnsi="TimesNewRoman" w:cs="TimesNewRoman"/>
          <w:i/>
          <w:iCs/>
          <w:szCs w:val="24"/>
        </w:rPr>
        <w:t>shape</w:t>
      </w:r>
      <w:proofErr w:type="spellEnd"/>
      <w:r w:rsidRPr="00C916DC">
        <w:rPr>
          <w:rFonts w:ascii="TimesNewRoman" w:hAnsi="TimesNewRoman" w:cs="TimesNewRoman"/>
          <w:i/>
          <w:iCs/>
          <w:szCs w:val="24"/>
        </w:rPr>
        <w:t xml:space="preserve"> file</w:t>
      </w:r>
      <w:r w:rsidRPr="00C916DC">
        <w:rPr>
          <w:rFonts w:ascii="TimesNewRoman" w:hAnsi="TimesNewRoman" w:cs="TimesNewRoman"/>
          <w:szCs w:val="24"/>
        </w:rPr>
        <w:t xml:space="preserve"> delle eventuali variazioni o modifiche urbanistiche approvate nei Comuni di competenza successivamente alla data del </w:t>
      </w:r>
      <w:r w:rsidR="00740682" w:rsidRPr="00C916DC">
        <w:rPr>
          <w:rFonts w:ascii="TimesNewRoman" w:hAnsi="TimesNewRoman" w:cs="TimesNewRoman"/>
          <w:szCs w:val="24"/>
        </w:rPr>
        <w:t>1° febbraio</w:t>
      </w:r>
      <w:r w:rsidRPr="00C916DC">
        <w:rPr>
          <w:rFonts w:ascii="TimesNewRoman" w:hAnsi="TimesNewRoman" w:cs="TimesNewRoman"/>
          <w:szCs w:val="24"/>
        </w:rPr>
        <w:t xml:space="preserve"> 2022.</w:t>
      </w:r>
    </w:p>
    <w:p w14:paraId="3641112C" w14:textId="07798D2E" w:rsidR="008A29A0" w:rsidRPr="00C916DC" w:rsidRDefault="00853940" w:rsidP="008A29A0">
      <w:pPr>
        <w:autoSpaceDE w:val="0"/>
        <w:autoSpaceDN w:val="0"/>
        <w:adjustRightInd w:val="0"/>
        <w:ind w:firstLine="567"/>
        <w:rPr>
          <w:rFonts w:ascii="Times New Roman" w:hAnsi="Times New Roman"/>
          <w:szCs w:val="24"/>
        </w:rPr>
      </w:pPr>
      <w:r w:rsidRPr="00C916DC">
        <w:rPr>
          <w:rFonts w:ascii="Times New Roman" w:hAnsi="Times New Roman"/>
          <w:szCs w:val="24"/>
        </w:rPr>
        <w:t xml:space="preserve">Da ultimo, l’ISPRA con nota prot. </w:t>
      </w:r>
      <w:r w:rsidR="00740682" w:rsidRPr="00C916DC">
        <w:rPr>
          <w:rFonts w:ascii="Times New Roman" w:hAnsi="Times New Roman"/>
          <w:szCs w:val="24"/>
        </w:rPr>
        <w:t xml:space="preserve">40028/2026 del 13 luglio 2026 acquisita al prot. n. 149282 in pari data, </w:t>
      </w:r>
      <w:r w:rsidR="00740682" w:rsidRPr="00C916DC">
        <w:rPr>
          <w:rFonts w:ascii="Times New Roman" w:hAnsi="Times New Roman"/>
          <w:b/>
          <w:bCs/>
          <w:szCs w:val="24"/>
        </w:rPr>
        <w:t>(</w:t>
      </w:r>
      <w:proofErr w:type="spellStart"/>
      <w:r w:rsidR="00740682" w:rsidRPr="00C916DC">
        <w:rPr>
          <w:rFonts w:ascii="Times New Roman" w:hAnsi="Times New Roman"/>
          <w:b/>
          <w:bCs/>
          <w:szCs w:val="24"/>
        </w:rPr>
        <w:t>all</w:t>
      </w:r>
      <w:r w:rsidR="00653DFB" w:rsidRPr="00C916DC">
        <w:rPr>
          <w:rFonts w:ascii="Times New Roman" w:hAnsi="Times New Roman"/>
          <w:b/>
          <w:bCs/>
          <w:szCs w:val="24"/>
        </w:rPr>
        <w:t>.</w:t>
      </w:r>
      <w:r w:rsidR="00404A30" w:rsidRPr="00C916DC">
        <w:rPr>
          <w:rFonts w:ascii="Times New Roman" w:hAnsi="Times New Roman"/>
          <w:b/>
          <w:bCs/>
          <w:szCs w:val="24"/>
        </w:rPr>
        <w:t>g</w:t>
      </w:r>
      <w:proofErr w:type="spellEnd"/>
      <w:r w:rsidR="00740682" w:rsidRPr="00C916DC">
        <w:rPr>
          <w:rFonts w:ascii="Times New Roman" w:hAnsi="Times New Roman"/>
          <w:b/>
          <w:bCs/>
          <w:szCs w:val="24"/>
        </w:rPr>
        <w:t>)</w:t>
      </w:r>
      <w:r w:rsidR="00740682" w:rsidRPr="00C916DC">
        <w:rPr>
          <w:rFonts w:ascii="Times New Roman" w:hAnsi="Times New Roman"/>
          <w:szCs w:val="24"/>
        </w:rPr>
        <w:t xml:space="preserve"> ha trasmesso </w:t>
      </w:r>
      <w:r w:rsidR="0065613A" w:rsidRPr="00C916DC">
        <w:rPr>
          <w:rFonts w:ascii="Times New Roman" w:hAnsi="Times New Roman"/>
          <w:szCs w:val="24"/>
        </w:rPr>
        <w:t>una proposta tecnica aggiornata di perimetrazione e zonizzazione provvisoria dell’istituendo Parco Nazionale della Costa dei Trabocchi e Teatina e delle correlate misure di salvaguardia.</w:t>
      </w:r>
    </w:p>
    <w:p w14:paraId="0C79B1FA" w14:textId="76DE295B" w:rsidR="008A29A0" w:rsidRPr="00C916DC" w:rsidRDefault="00740682" w:rsidP="00324303">
      <w:pPr>
        <w:autoSpaceDE w:val="0"/>
        <w:autoSpaceDN w:val="0"/>
        <w:adjustRightInd w:val="0"/>
        <w:ind w:firstLine="567"/>
        <w:rPr>
          <w:rFonts w:ascii="TimesNewRoman" w:hAnsi="TimesNewRoman" w:cs="TimesNewRoman"/>
          <w:szCs w:val="24"/>
        </w:rPr>
      </w:pPr>
      <w:r w:rsidRPr="00C916DC">
        <w:rPr>
          <w:rFonts w:ascii="Times New Roman" w:hAnsi="Times New Roman"/>
          <w:szCs w:val="24"/>
        </w:rPr>
        <w:t>Il numero dei Comuni ricadenti nella presente proposta di perimetrazione dell’istituendo Parco Nazionale della Costa dei Trabocchi e Teatina è rimasto invariato rispetto alla proposta tecnica di ISPRA di dicembre 2022, ed è pari a 19</w:t>
      </w:r>
      <w:r w:rsidR="00324303" w:rsidRPr="00C916DC">
        <w:rPr>
          <w:rFonts w:ascii="Times New Roman" w:hAnsi="Times New Roman"/>
          <w:szCs w:val="24"/>
        </w:rPr>
        <w:t xml:space="preserve">: </w:t>
      </w:r>
      <w:r w:rsidR="008A29A0" w:rsidRPr="00C916DC">
        <w:rPr>
          <w:rFonts w:ascii="TimesNewRoman" w:hAnsi="TimesNewRoman" w:cs="TimesNewRoman"/>
          <w:szCs w:val="24"/>
        </w:rPr>
        <w:t xml:space="preserve">Ortona, </w:t>
      </w:r>
      <w:r w:rsidR="008A29A0" w:rsidRPr="00C916DC">
        <w:rPr>
          <w:rFonts w:ascii="Times New Roman" w:hAnsi="Times New Roman"/>
          <w:color w:val="000000"/>
          <w:szCs w:val="24"/>
        </w:rPr>
        <w:t>Torino di Sangro, Vasto, Casalbordino, Rocca S. Giovanni, S. Vito Chietino, Fossacesia, Paglieta, Lanciano, Villalfonsina, Pollutri, Mozzagrogna, Monteodorisio, Tollo</w:t>
      </w:r>
      <w:r w:rsidR="008A29A0" w:rsidRPr="00C916DC">
        <w:rPr>
          <w:rFonts w:ascii="Times New Roman" w:hAnsi="Times New Roman"/>
          <w:szCs w:val="24"/>
        </w:rPr>
        <w:t xml:space="preserve">, </w:t>
      </w:r>
      <w:r w:rsidR="008A29A0" w:rsidRPr="00C916DC">
        <w:rPr>
          <w:rFonts w:ascii="Times New Roman" w:hAnsi="Times New Roman"/>
          <w:color w:val="000000"/>
          <w:szCs w:val="24"/>
        </w:rPr>
        <w:t xml:space="preserve">Atessa, S. Salvo, Scerni, Miglianico </w:t>
      </w:r>
      <w:r w:rsidR="008A29A0" w:rsidRPr="00C916DC">
        <w:rPr>
          <w:rFonts w:ascii="Times New Roman" w:hAnsi="Times New Roman"/>
          <w:szCs w:val="24"/>
        </w:rPr>
        <w:t xml:space="preserve">e </w:t>
      </w:r>
      <w:r w:rsidR="008A29A0" w:rsidRPr="00C916DC">
        <w:rPr>
          <w:rFonts w:ascii="Times New Roman" w:hAnsi="Times New Roman"/>
          <w:color w:val="000000"/>
          <w:szCs w:val="24"/>
        </w:rPr>
        <w:t>Francavilla al Mare</w:t>
      </w:r>
      <w:r w:rsidR="00324303" w:rsidRPr="00C916DC">
        <w:rPr>
          <w:rFonts w:ascii="Times New Roman" w:hAnsi="Times New Roman"/>
          <w:color w:val="000000"/>
          <w:szCs w:val="24"/>
        </w:rPr>
        <w:t>.</w:t>
      </w:r>
    </w:p>
    <w:p w14:paraId="351DA53B" w14:textId="3B0C9FB1" w:rsidR="00324303" w:rsidRPr="00C916DC" w:rsidRDefault="00F83EB4" w:rsidP="00324303">
      <w:pPr>
        <w:autoSpaceDE w:val="0"/>
        <w:autoSpaceDN w:val="0"/>
        <w:adjustRightInd w:val="0"/>
        <w:ind w:firstLine="567"/>
        <w:rPr>
          <w:rFonts w:ascii="Times New Roman" w:hAnsi="Times New Roman"/>
          <w:sz w:val="22"/>
          <w:szCs w:val="22"/>
        </w:rPr>
      </w:pPr>
      <w:r w:rsidRPr="00C916DC">
        <w:rPr>
          <w:rFonts w:ascii="Times New Roman" w:hAnsi="Times New Roman"/>
          <w:sz w:val="22"/>
          <w:szCs w:val="22"/>
        </w:rPr>
        <w:t>Allegat</w:t>
      </w:r>
      <w:r w:rsidR="00426ED4" w:rsidRPr="00C916DC">
        <w:rPr>
          <w:rFonts w:ascii="Times New Roman" w:hAnsi="Times New Roman"/>
          <w:sz w:val="22"/>
          <w:szCs w:val="22"/>
        </w:rPr>
        <w:t>i</w:t>
      </w:r>
      <w:r w:rsidRPr="00C916DC">
        <w:rPr>
          <w:rFonts w:ascii="Times New Roman" w:hAnsi="Times New Roman"/>
          <w:sz w:val="22"/>
          <w:szCs w:val="22"/>
        </w:rPr>
        <w:t>:</w:t>
      </w:r>
    </w:p>
    <w:p w14:paraId="1C79B224" w14:textId="4939451F" w:rsidR="00F83EB4" w:rsidRPr="00C916DC" w:rsidRDefault="000346C8" w:rsidP="000346C8">
      <w:pPr>
        <w:pStyle w:val="Paragrafoelenco"/>
        <w:numPr>
          <w:ilvl w:val="0"/>
          <w:numId w:val="35"/>
        </w:numPr>
        <w:autoSpaceDE w:val="0"/>
        <w:autoSpaceDN w:val="0"/>
        <w:adjustRightInd w:val="0"/>
        <w:rPr>
          <w:bCs/>
          <w:sz w:val="22"/>
          <w:szCs w:val="22"/>
        </w:rPr>
      </w:pPr>
      <w:r w:rsidRPr="00C916DC">
        <w:rPr>
          <w:bCs/>
        </w:rPr>
        <w:t>nota prot. n. 90715 del 28 aprile 2026;</w:t>
      </w:r>
    </w:p>
    <w:p w14:paraId="6B937CBE" w14:textId="631AB73C" w:rsidR="000346C8" w:rsidRPr="00C916DC" w:rsidRDefault="000346C8" w:rsidP="000346C8">
      <w:pPr>
        <w:pStyle w:val="Paragrafoelenco"/>
        <w:numPr>
          <w:ilvl w:val="0"/>
          <w:numId w:val="35"/>
        </w:numPr>
        <w:autoSpaceDE w:val="0"/>
        <w:autoSpaceDN w:val="0"/>
        <w:adjustRightInd w:val="0"/>
        <w:rPr>
          <w:bCs/>
          <w:sz w:val="22"/>
          <w:szCs w:val="22"/>
        </w:rPr>
      </w:pPr>
      <w:r w:rsidRPr="00C916DC">
        <w:rPr>
          <w:bCs/>
        </w:rPr>
        <w:t>nota Regione Abruzzo, con prot. n. 191118/2026 dell’8 maggio 2026;</w:t>
      </w:r>
    </w:p>
    <w:p w14:paraId="672665E3" w14:textId="77777777" w:rsidR="00A30F52" w:rsidRPr="00C916DC" w:rsidRDefault="000346C8" w:rsidP="00A30F52">
      <w:pPr>
        <w:pStyle w:val="Paragrafoelenco"/>
        <w:numPr>
          <w:ilvl w:val="0"/>
          <w:numId w:val="35"/>
        </w:numPr>
        <w:autoSpaceDE w:val="0"/>
        <w:autoSpaceDN w:val="0"/>
        <w:adjustRightInd w:val="0"/>
        <w:rPr>
          <w:bCs/>
          <w:sz w:val="22"/>
          <w:szCs w:val="22"/>
        </w:rPr>
      </w:pPr>
      <w:r w:rsidRPr="00C916DC">
        <w:rPr>
          <w:bCs/>
        </w:rPr>
        <w:t>nota ISPRA prot. n. 25780 dell’11 maggio 2026;</w:t>
      </w:r>
    </w:p>
    <w:p w14:paraId="7D2B42C5" w14:textId="097EA0DA" w:rsidR="00F96990" w:rsidRPr="00C916DC" w:rsidRDefault="00A30F52" w:rsidP="00A30F52">
      <w:pPr>
        <w:pStyle w:val="Paragrafoelenco"/>
        <w:numPr>
          <w:ilvl w:val="0"/>
          <w:numId w:val="35"/>
        </w:numPr>
        <w:autoSpaceDE w:val="0"/>
        <w:autoSpaceDN w:val="0"/>
        <w:adjustRightInd w:val="0"/>
        <w:rPr>
          <w:bCs/>
          <w:sz w:val="22"/>
          <w:szCs w:val="22"/>
        </w:rPr>
      </w:pPr>
      <w:r w:rsidRPr="00C916DC">
        <w:rPr>
          <w:bCs/>
        </w:rPr>
        <w:t>sentenza TAR Abruzzo, Sez. I, n. 335/2026;</w:t>
      </w:r>
    </w:p>
    <w:p w14:paraId="09B3A08B" w14:textId="695821CA" w:rsidR="00A30F52" w:rsidRPr="00C916DC" w:rsidRDefault="00A30F52" w:rsidP="00A30F52">
      <w:pPr>
        <w:pStyle w:val="Paragrafoelenco"/>
        <w:numPr>
          <w:ilvl w:val="0"/>
          <w:numId w:val="35"/>
        </w:numPr>
        <w:autoSpaceDE w:val="0"/>
        <w:autoSpaceDN w:val="0"/>
        <w:adjustRightInd w:val="0"/>
        <w:rPr>
          <w:bCs/>
          <w:sz w:val="22"/>
          <w:szCs w:val="22"/>
        </w:rPr>
      </w:pPr>
      <w:r w:rsidRPr="00C916DC">
        <w:rPr>
          <w:bCs/>
        </w:rPr>
        <w:t>nota prot. n. 133751 del 24 giugno 2026;</w:t>
      </w:r>
    </w:p>
    <w:p w14:paraId="11D281E4" w14:textId="77777777" w:rsidR="00A30F52" w:rsidRPr="00C916DC" w:rsidRDefault="00A30F52" w:rsidP="00A30F52">
      <w:pPr>
        <w:pStyle w:val="Paragrafoelenco"/>
        <w:numPr>
          <w:ilvl w:val="0"/>
          <w:numId w:val="35"/>
        </w:numPr>
        <w:autoSpaceDE w:val="0"/>
        <w:autoSpaceDN w:val="0"/>
        <w:adjustRightInd w:val="0"/>
        <w:rPr>
          <w:bCs/>
          <w:sz w:val="18"/>
          <w:szCs w:val="18"/>
        </w:rPr>
      </w:pPr>
      <w:r w:rsidRPr="00C916DC">
        <w:rPr>
          <w:bCs/>
          <w:color w:val="000000"/>
        </w:rPr>
        <w:t xml:space="preserve">nota </w:t>
      </w:r>
      <w:r w:rsidRPr="00C916DC">
        <w:rPr>
          <w:rFonts w:ascii="TimesNewRoman" w:hAnsi="TimesNewRoman" w:cs="TimesNewRoman"/>
          <w:bCs/>
        </w:rPr>
        <w:t>ISPRA</w:t>
      </w:r>
      <w:r w:rsidRPr="00C916DC">
        <w:rPr>
          <w:bCs/>
          <w:color w:val="000000"/>
        </w:rPr>
        <w:t xml:space="preserve"> prot. n. 37702/2026 del 2 luglio 2026;</w:t>
      </w:r>
    </w:p>
    <w:p w14:paraId="78F2E87B" w14:textId="2E6AEDBF" w:rsidR="00324303" w:rsidRPr="00C916DC" w:rsidRDefault="00A30F52" w:rsidP="008F5F18">
      <w:pPr>
        <w:pStyle w:val="Paragrafoelenco"/>
        <w:numPr>
          <w:ilvl w:val="0"/>
          <w:numId w:val="35"/>
        </w:numPr>
        <w:autoSpaceDE w:val="0"/>
        <w:autoSpaceDN w:val="0"/>
        <w:adjustRightInd w:val="0"/>
        <w:rPr>
          <w:bCs/>
          <w:color w:val="000000"/>
        </w:rPr>
      </w:pPr>
      <w:r w:rsidRPr="00C916DC">
        <w:rPr>
          <w:bCs/>
          <w:color w:val="000000"/>
        </w:rPr>
        <w:t>nota ISPRA prot. 40028/2026 del 13 luglio 2026</w:t>
      </w:r>
      <w:r w:rsidR="00C916DC" w:rsidRPr="00C916DC">
        <w:rPr>
          <w:bCs/>
          <w:color w:val="000000"/>
        </w:rPr>
        <w:t>.</w:t>
      </w:r>
    </w:p>
    <w:sectPr w:rsidR="00324303" w:rsidRPr="00C916DC" w:rsidSect="006620DC">
      <w:headerReference w:type="even" r:id="rId8"/>
      <w:headerReference w:type="default" r:id="rId9"/>
      <w:footerReference w:type="even" r:id="rId10"/>
      <w:headerReference w:type="first" r:id="rId11"/>
      <w:footerReference w:type="first" r:id="rId12"/>
      <w:pgSz w:w="11906" w:h="16838" w:code="9"/>
      <w:pgMar w:top="-851" w:right="1134" w:bottom="851" w:left="1134" w:header="72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5FA1" w14:textId="77777777" w:rsidR="00FD6E7B" w:rsidRDefault="00FD6E7B">
      <w:r>
        <w:separator/>
      </w:r>
    </w:p>
  </w:endnote>
  <w:endnote w:type="continuationSeparator" w:id="0">
    <w:p w14:paraId="1D212624" w14:textId="77777777" w:rsidR="00FD6E7B" w:rsidRDefault="00FD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helleyAllegro BT">
    <w:altName w:val="Calibri"/>
    <w:panose1 w:val="03030702030607090B03"/>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charset w:val="00"/>
    <w:family w:val="roman"/>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8931" w14:textId="77777777" w:rsidR="00792684" w:rsidRDefault="00792684">
    <w:pPr>
      <w:pStyle w:val="Pidipagina"/>
      <w:framePr w:wrap="around" w:vAnchor="text" w:hAnchor="margin" w:xAlign="right" w:y="1"/>
    </w:pPr>
    <w:r>
      <w:fldChar w:fldCharType="begin"/>
    </w:r>
    <w:r>
      <w:instrText xml:space="preserve">PAGE  </w:instrText>
    </w:r>
    <w:r>
      <w:fldChar w:fldCharType="separate"/>
    </w:r>
    <w:r>
      <w:rPr>
        <w:noProof/>
      </w:rPr>
      <w:t>2</w:t>
    </w:r>
    <w:r>
      <w:fldChar w:fldCharType="end"/>
    </w:r>
  </w:p>
  <w:p w14:paraId="6366EAE0" w14:textId="77777777" w:rsidR="00792684" w:rsidRDefault="00792684">
    <w:pPr>
      <w:pStyle w:val="Pidipagina"/>
      <w:ind w:right="360"/>
    </w:pPr>
  </w:p>
  <w:p w14:paraId="7E4D778D" w14:textId="77777777" w:rsidR="00792684" w:rsidRDefault="007926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F541" w14:textId="77777777" w:rsidR="00792684" w:rsidRPr="00196B56" w:rsidRDefault="00792684" w:rsidP="004274D2">
    <w:pPr>
      <w:shd w:val="clear" w:color="auto" w:fill="FFFFFF"/>
      <w:jc w:val="center"/>
      <w:rPr>
        <w:rFonts w:ascii="Times New Roman" w:hAnsi="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31B4" w14:textId="77777777" w:rsidR="00FD6E7B" w:rsidRDefault="00FD6E7B">
      <w:r>
        <w:separator/>
      </w:r>
    </w:p>
  </w:footnote>
  <w:footnote w:type="continuationSeparator" w:id="0">
    <w:p w14:paraId="56F2AAFD" w14:textId="77777777" w:rsidR="00FD6E7B" w:rsidRDefault="00FD6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4D1B" w14:textId="77777777" w:rsidR="00792684" w:rsidRDefault="00792684" w:rsidP="0099394F">
    <w:pPr>
      <w:framePr w:wrap="around" w:vAnchor="text" w:hAnchor="margin" w:xAlign="right" w:y="1"/>
    </w:pPr>
    <w:r>
      <w:fldChar w:fldCharType="begin"/>
    </w:r>
    <w:r>
      <w:instrText xml:space="preserve">PAGE  </w:instrText>
    </w:r>
    <w:r>
      <w:fldChar w:fldCharType="separate"/>
    </w:r>
    <w:r>
      <w:rPr>
        <w:noProof/>
      </w:rPr>
      <w:t>2</w:t>
    </w:r>
    <w:r>
      <w:fldChar w:fldCharType="end"/>
    </w:r>
  </w:p>
  <w:p w14:paraId="7A46C073" w14:textId="77777777" w:rsidR="00792684" w:rsidRDefault="00792684">
    <w:pPr>
      <w:ind w:right="360"/>
    </w:pPr>
  </w:p>
  <w:p w14:paraId="0751EC19" w14:textId="77777777" w:rsidR="00792684" w:rsidRDefault="007926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E300" w14:textId="41DDF16A" w:rsidR="00792684" w:rsidRPr="00F24498" w:rsidRDefault="00792684" w:rsidP="0099394F">
    <w:pPr>
      <w:pStyle w:val="Intestazione"/>
      <w:framePr w:wrap="around" w:vAnchor="text" w:hAnchor="margin" w:xAlign="right" w:y="1"/>
      <w:rPr>
        <w:rStyle w:val="Numeropagina"/>
        <w:sz w:val="16"/>
        <w:szCs w:val="16"/>
      </w:rPr>
    </w:pPr>
    <w:r w:rsidRPr="00F24498">
      <w:rPr>
        <w:rStyle w:val="Numeropagina"/>
        <w:sz w:val="16"/>
        <w:szCs w:val="16"/>
      </w:rPr>
      <w:t>Pag.</w:t>
    </w:r>
    <w:r w:rsidRPr="00F24498">
      <w:rPr>
        <w:rStyle w:val="Numeropagina"/>
        <w:sz w:val="16"/>
        <w:szCs w:val="16"/>
      </w:rPr>
      <w:fldChar w:fldCharType="begin"/>
    </w:r>
    <w:r w:rsidRPr="00F24498">
      <w:rPr>
        <w:rStyle w:val="Numeropagina"/>
        <w:sz w:val="16"/>
        <w:szCs w:val="16"/>
      </w:rPr>
      <w:instrText xml:space="preserve">PAGE  </w:instrText>
    </w:r>
    <w:r w:rsidRPr="00F24498">
      <w:rPr>
        <w:rStyle w:val="Numeropagina"/>
        <w:sz w:val="16"/>
        <w:szCs w:val="16"/>
      </w:rPr>
      <w:fldChar w:fldCharType="separate"/>
    </w:r>
    <w:r w:rsidR="006A59DC">
      <w:rPr>
        <w:rStyle w:val="Numeropagina"/>
        <w:noProof/>
        <w:sz w:val="16"/>
        <w:szCs w:val="16"/>
      </w:rPr>
      <w:t>2</w:t>
    </w:r>
    <w:r w:rsidRPr="00F24498">
      <w:rPr>
        <w:rStyle w:val="Numeropagina"/>
        <w:sz w:val="16"/>
        <w:szCs w:val="16"/>
      </w:rPr>
      <w:fldChar w:fldCharType="end"/>
    </w:r>
    <w:r w:rsidRPr="00F24498">
      <w:rPr>
        <w:rStyle w:val="Numeropagina"/>
        <w:sz w:val="16"/>
        <w:szCs w:val="16"/>
      </w:rPr>
      <w:t>/</w:t>
    </w:r>
    <w:r w:rsidRPr="00F24498">
      <w:rPr>
        <w:rStyle w:val="Numeropagina"/>
        <w:sz w:val="16"/>
        <w:szCs w:val="16"/>
      </w:rPr>
      <w:fldChar w:fldCharType="begin"/>
    </w:r>
    <w:r w:rsidRPr="00F24498">
      <w:rPr>
        <w:rStyle w:val="Numeropagina"/>
        <w:sz w:val="16"/>
        <w:szCs w:val="16"/>
      </w:rPr>
      <w:instrText xml:space="preserve"> NUMPAGES </w:instrText>
    </w:r>
    <w:r w:rsidRPr="00F24498">
      <w:rPr>
        <w:rStyle w:val="Numeropagina"/>
        <w:sz w:val="16"/>
        <w:szCs w:val="16"/>
      </w:rPr>
      <w:fldChar w:fldCharType="separate"/>
    </w:r>
    <w:r w:rsidR="006A59DC">
      <w:rPr>
        <w:rStyle w:val="Numeropagina"/>
        <w:noProof/>
        <w:sz w:val="16"/>
        <w:szCs w:val="16"/>
      </w:rPr>
      <w:t>2</w:t>
    </w:r>
    <w:r w:rsidRPr="00F24498">
      <w:rPr>
        <w:rStyle w:val="Numeropagina"/>
        <w:sz w:val="16"/>
        <w:szCs w:val="16"/>
      </w:rPr>
      <w:fldChar w:fldCharType="end"/>
    </w:r>
  </w:p>
  <w:p w14:paraId="4766D35C" w14:textId="77777777" w:rsidR="00792684" w:rsidRDefault="00792684" w:rsidP="00770E75">
    <w:pPr>
      <w:pStyle w:val="Titolo3"/>
      <w:tabs>
        <w:tab w:val="left" w:pos="3544"/>
      </w:tabs>
      <w:spacing w:line="500" w:lineRule="exact"/>
      <w:ind w:left="-1021" w:right="510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58D1" w14:textId="67E8E798" w:rsidR="009935E6" w:rsidRPr="00DF4BDD" w:rsidRDefault="009935E6" w:rsidP="00CA4EDD">
    <w:pPr>
      <w:ind w:left="-709" w:right="3684"/>
      <w:rPr>
        <w:sz w:val="14"/>
      </w:rPr>
    </w:pPr>
  </w:p>
  <w:p w14:paraId="16B16AB2" w14:textId="6D099B91" w:rsidR="00314069" w:rsidRPr="000B0CF0" w:rsidRDefault="00314069" w:rsidP="000B0CF0">
    <w:pPr>
      <w:autoSpaceDE w:val="0"/>
      <w:autoSpaceDN w:val="0"/>
      <w:adjustRightInd w:val="0"/>
      <w:ind w:left="-709" w:right="3684"/>
      <w:jc w:val="center"/>
      <w:rPr>
        <w:rFonts w:ascii="Palatino Linotype" w:hAnsi="Palatino Linotype" w:cs="Palatino Linotype"/>
        <w:sz w:val="16"/>
        <w:szCs w:val="16"/>
      </w:rPr>
    </w:pPr>
    <w:r>
      <w:rPr>
        <w:rFonts w:ascii="Palatino Linotype" w:hAnsi="Palatino Linotype"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FD6F13"/>
    <w:multiLevelType w:val="hybridMultilevel"/>
    <w:tmpl w:val="6FFECB84"/>
    <w:lvl w:ilvl="0" w:tplc="0410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6C5C4A"/>
    <w:multiLevelType w:val="singleLevel"/>
    <w:tmpl w:val="0CE4EAF2"/>
    <w:lvl w:ilvl="0">
      <w:start w:val="1"/>
      <w:numFmt w:val="bullet"/>
      <w:lvlText w:val=""/>
      <w:lvlJc w:val="left"/>
      <w:pPr>
        <w:tabs>
          <w:tab w:val="num" w:pos="567"/>
        </w:tabs>
        <w:ind w:left="567" w:hanging="567"/>
      </w:pPr>
      <w:rPr>
        <w:rFonts w:ascii="Symbol" w:hAnsi="Symbol" w:hint="default"/>
      </w:rPr>
    </w:lvl>
  </w:abstractNum>
  <w:abstractNum w:abstractNumId="2" w15:restartNumberingAfterBreak="0">
    <w:nsid w:val="0AFC16A2"/>
    <w:multiLevelType w:val="hybridMultilevel"/>
    <w:tmpl w:val="478047F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E6F3D"/>
    <w:multiLevelType w:val="singleLevel"/>
    <w:tmpl w:val="0CE4EAF2"/>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1CDD02A9"/>
    <w:multiLevelType w:val="hybridMultilevel"/>
    <w:tmpl w:val="A9FEFEDE"/>
    <w:lvl w:ilvl="0" w:tplc="0410000D">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5" w15:restartNumberingAfterBreak="0">
    <w:nsid w:val="1EAE2CBE"/>
    <w:multiLevelType w:val="hybridMultilevel"/>
    <w:tmpl w:val="8FF66396"/>
    <w:lvl w:ilvl="0" w:tplc="5F8E653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2120A0"/>
    <w:multiLevelType w:val="hybridMultilevel"/>
    <w:tmpl w:val="B9600EEA"/>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7" w15:restartNumberingAfterBreak="0">
    <w:nsid w:val="22C9381F"/>
    <w:multiLevelType w:val="multilevel"/>
    <w:tmpl w:val="D960C25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854"/>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436B45"/>
    <w:multiLevelType w:val="hybridMultilevel"/>
    <w:tmpl w:val="32F2E454"/>
    <w:lvl w:ilvl="0" w:tplc="04100017">
      <w:start w:val="1"/>
      <w:numFmt w:val="lowerLetter"/>
      <w:lvlText w:val="%1)"/>
      <w:lvlJc w:val="left"/>
      <w:pPr>
        <w:ind w:left="502" w:hanging="360"/>
      </w:pPr>
      <w:rPr>
        <w:rFonts w:hint="default"/>
        <w:sz w:val="24"/>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2CD22553"/>
    <w:multiLevelType w:val="singleLevel"/>
    <w:tmpl w:val="309C32A4"/>
    <w:lvl w:ilvl="0">
      <w:start w:val="21"/>
      <w:numFmt w:val="bullet"/>
      <w:lvlText w:val="-"/>
      <w:lvlJc w:val="left"/>
      <w:pPr>
        <w:tabs>
          <w:tab w:val="num" w:pos="-632"/>
        </w:tabs>
        <w:ind w:left="-632" w:hanging="360"/>
      </w:pPr>
      <w:rPr>
        <w:rFonts w:hint="default"/>
        <w:sz w:val="28"/>
        <w:u w:val="none"/>
      </w:rPr>
    </w:lvl>
  </w:abstractNum>
  <w:abstractNum w:abstractNumId="10" w15:restartNumberingAfterBreak="0">
    <w:nsid w:val="305744C8"/>
    <w:multiLevelType w:val="hybridMultilevel"/>
    <w:tmpl w:val="FA60CD9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EE564C"/>
    <w:multiLevelType w:val="hybridMultilevel"/>
    <w:tmpl w:val="99E6A0B6"/>
    <w:lvl w:ilvl="0" w:tplc="CE94BDFE">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CFD01ED"/>
    <w:multiLevelType w:val="singleLevel"/>
    <w:tmpl w:val="3A66BE74"/>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3DB337CB"/>
    <w:multiLevelType w:val="singleLevel"/>
    <w:tmpl w:val="3CFCFE76"/>
    <w:lvl w:ilvl="0">
      <w:start w:val="1"/>
      <w:numFmt w:val="upperLetter"/>
      <w:lvlText w:val="%1."/>
      <w:lvlJc w:val="left"/>
      <w:pPr>
        <w:tabs>
          <w:tab w:val="num" w:pos="567"/>
        </w:tabs>
        <w:ind w:left="567" w:hanging="567"/>
      </w:pPr>
    </w:lvl>
  </w:abstractNum>
  <w:abstractNum w:abstractNumId="14" w15:restartNumberingAfterBreak="0">
    <w:nsid w:val="3E8412ED"/>
    <w:multiLevelType w:val="singleLevel"/>
    <w:tmpl w:val="488205CA"/>
    <w:lvl w:ilvl="0">
      <w:start w:val="1"/>
      <w:numFmt w:val="bullet"/>
      <w:lvlText w:val=""/>
      <w:lvlJc w:val="left"/>
      <w:pPr>
        <w:tabs>
          <w:tab w:val="num" w:pos="360"/>
        </w:tabs>
        <w:ind w:left="284" w:hanging="284"/>
      </w:pPr>
      <w:rPr>
        <w:rFonts w:ascii="Symbol" w:hAnsi="Symbol" w:hint="default"/>
      </w:rPr>
    </w:lvl>
  </w:abstractNum>
  <w:abstractNum w:abstractNumId="15" w15:restartNumberingAfterBreak="0">
    <w:nsid w:val="470A7D93"/>
    <w:multiLevelType w:val="singleLevel"/>
    <w:tmpl w:val="488205CA"/>
    <w:lvl w:ilvl="0">
      <w:start w:val="1"/>
      <w:numFmt w:val="bullet"/>
      <w:lvlText w:val=""/>
      <w:lvlJc w:val="left"/>
      <w:pPr>
        <w:tabs>
          <w:tab w:val="num" w:pos="360"/>
        </w:tabs>
        <w:ind w:left="284" w:hanging="284"/>
      </w:pPr>
      <w:rPr>
        <w:rFonts w:ascii="Symbol" w:hAnsi="Symbol" w:hint="default"/>
      </w:rPr>
    </w:lvl>
  </w:abstractNum>
  <w:abstractNum w:abstractNumId="16" w15:restartNumberingAfterBreak="0">
    <w:nsid w:val="48B637C3"/>
    <w:multiLevelType w:val="singleLevel"/>
    <w:tmpl w:val="0CE4EAF2"/>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4909267B"/>
    <w:multiLevelType w:val="singleLevel"/>
    <w:tmpl w:val="24785C3A"/>
    <w:lvl w:ilvl="0">
      <w:start w:val="1"/>
      <w:numFmt w:val="bullet"/>
      <w:lvlText w:val=""/>
      <w:lvlJc w:val="left"/>
      <w:pPr>
        <w:tabs>
          <w:tab w:val="num" w:pos="360"/>
        </w:tabs>
        <w:ind w:left="284" w:hanging="284"/>
      </w:pPr>
      <w:rPr>
        <w:rFonts w:ascii="Symbol" w:hAnsi="Symbol" w:hint="default"/>
      </w:rPr>
    </w:lvl>
  </w:abstractNum>
  <w:abstractNum w:abstractNumId="18" w15:restartNumberingAfterBreak="0">
    <w:nsid w:val="49A90998"/>
    <w:multiLevelType w:val="singleLevel"/>
    <w:tmpl w:val="0CE4EAF2"/>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4A777EB8"/>
    <w:multiLevelType w:val="singleLevel"/>
    <w:tmpl w:val="3A66BE74"/>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4E375E14"/>
    <w:multiLevelType w:val="hybridMultilevel"/>
    <w:tmpl w:val="18A0F3FA"/>
    <w:lvl w:ilvl="0" w:tplc="F0685382">
      <w:start w:val="1"/>
      <w:numFmt w:val="lowerLetter"/>
      <w:lvlText w:val="%1)"/>
      <w:lvlJc w:val="left"/>
      <w:pPr>
        <w:ind w:left="927" w:hanging="360"/>
      </w:pPr>
      <w:rPr>
        <w:rFonts w:hint="default"/>
      </w:rPr>
    </w:lvl>
    <w:lvl w:ilvl="1" w:tplc="04100019">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1" w15:restartNumberingAfterBreak="0">
    <w:nsid w:val="51DD56A8"/>
    <w:multiLevelType w:val="singleLevel"/>
    <w:tmpl w:val="EE96B948"/>
    <w:lvl w:ilvl="0">
      <w:start w:val="1"/>
      <w:numFmt w:val="decimal"/>
      <w:lvlText w:val="%1."/>
      <w:lvlJc w:val="left"/>
      <w:pPr>
        <w:tabs>
          <w:tab w:val="num" w:pos="360"/>
        </w:tabs>
        <w:ind w:left="284" w:hanging="284"/>
      </w:pPr>
    </w:lvl>
  </w:abstractNum>
  <w:abstractNum w:abstractNumId="22" w15:restartNumberingAfterBreak="0">
    <w:nsid w:val="53AB050C"/>
    <w:multiLevelType w:val="singleLevel"/>
    <w:tmpl w:val="44D862BE"/>
    <w:lvl w:ilvl="0">
      <w:start w:val="1"/>
      <w:numFmt w:val="bullet"/>
      <w:lvlText w:val=""/>
      <w:lvlJc w:val="left"/>
      <w:pPr>
        <w:tabs>
          <w:tab w:val="num" w:pos="360"/>
        </w:tabs>
        <w:ind w:left="357" w:hanging="357"/>
      </w:pPr>
      <w:rPr>
        <w:rFonts w:ascii="Symbol" w:hAnsi="Symbol" w:hint="default"/>
      </w:rPr>
    </w:lvl>
  </w:abstractNum>
  <w:abstractNum w:abstractNumId="23" w15:restartNumberingAfterBreak="0">
    <w:nsid w:val="54EF0D12"/>
    <w:multiLevelType w:val="singleLevel"/>
    <w:tmpl w:val="EE96B948"/>
    <w:lvl w:ilvl="0">
      <w:start w:val="1"/>
      <w:numFmt w:val="decimal"/>
      <w:lvlText w:val="%1."/>
      <w:lvlJc w:val="left"/>
      <w:pPr>
        <w:tabs>
          <w:tab w:val="num" w:pos="360"/>
        </w:tabs>
        <w:ind w:left="284" w:hanging="284"/>
      </w:pPr>
    </w:lvl>
  </w:abstractNum>
  <w:abstractNum w:abstractNumId="24" w15:restartNumberingAfterBreak="0">
    <w:nsid w:val="55B0774D"/>
    <w:multiLevelType w:val="singleLevel"/>
    <w:tmpl w:val="44D862BE"/>
    <w:lvl w:ilvl="0">
      <w:start w:val="1"/>
      <w:numFmt w:val="bullet"/>
      <w:lvlText w:val=""/>
      <w:lvlJc w:val="left"/>
      <w:pPr>
        <w:tabs>
          <w:tab w:val="num" w:pos="360"/>
        </w:tabs>
        <w:ind w:left="357" w:hanging="357"/>
      </w:pPr>
      <w:rPr>
        <w:rFonts w:ascii="Symbol" w:hAnsi="Symbol" w:hint="default"/>
      </w:rPr>
    </w:lvl>
  </w:abstractNum>
  <w:abstractNum w:abstractNumId="25" w15:restartNumberingAfterBreak="0">
    <w:nsid w:val="60F26D66"/>
    <w:multiLevelType w:val="singleLevel"/>
    <w:tmpl w:val="8ED40450"/>
    <w:lvl w:ilvl="0">
      <w:start w:val="1"/>
      <w:numFmt w:val="bullet"/>
      <w:lvlText w:val=""/>
      <w:lvlJc w:val="left"/>
      <w:pPr>
        <w:tabs>
          <w:tab w:val="num" w:pos="360"/>
        </w:tabs>
        <w:ind w:left="357" w:hanging="357"/>
      </w:pPr>
      <w:rPr>
        <w:rFonts w:ascii="Symbol" w:hAnsi="Symbol" w:hint="default"/>
      </w:rPr>
    </w:lvl>
  </w:abstractNum>
  <w:abstractNum w:abstractNumId="26" w15:restartNumberingAfterBreak="0">
    <w:nsid w:val="6ED65AC4"/>
    <w:multiLevelType w:val="singleLevel"/>
    <w:tmpl w:val="3FCCEF1E"/>
    <w:lvl w:ilvl="0">
      <w:start w:val="1"/>
      <w:numFmt w:val="bullet"/>
      <w:lvlText w:val=""/>
      <w:lvlJc w:val="left"/>
      <w:pPr>
        <w:tabs>
          <w:tab w:val="num" w:pos="567"/>
        </w:tabs>
        <w:ind w:left="567" w:hanging="567"/>
      </w:pPr>
      <w:rPr>
        <w:rFonts w:ascii="Wingdings" w:hAnsi="Wingdings" w:hint="default"/>
        <w:sz w:val="16"/>
      </w:rPr>
    </w:lvl>
  </w:abstractNum>
  <w:abstractNum w:abstractNumId="27" w15:restartNumberingAfterBreak="0">
    <w:nsid w:val="706948CD"/>
    <w:multiLevelType w:val="singleLevel"/>
    <w:tmpl w:val="9260E280"/>
    <w:lvl w:ilvl="0">
      <w:start w:val="1"/>
      <w:numFmt w:val="bullet"/>
      <w:lvlText w:val=""/>
      <w:lvlJc w:val="left"/>
      <w:pPr>
        <w:tabs>
          <w:tab w:val="num" w:pos="567"/>
        </w:tabs>
        <w:ind w:left="567" w:hanging="567"/>
      </w:pPr>
      <w:rPr>
        <w:rFonts w:ascii="Wingdings" w:hAnsi="Wingdings" w:hint="default"/>
      </w:rPr>
    </w:lvl>
  </w:abstractNum>
  <w:abstractNum w:abstractNumId="28" w15:restartNumberingAfterBreak="0">
    <w:nsid w:val="73F72478"/>
    <w:multiLevelType w:val="singleLevel"/>
    <w:tmpl w:val="3A66BE74"/>
    <w:lvl w:ilvl="0">
      <w:start w:val="1"/>
      <w:numFmt w:val="bullet"/>
      <w:lvlText w:val=""/>
      <w:lvlJc w:val="left"/>
      <w:pPr>
        <w:tabs>
          <w:tab w:val="num" w:pos="567"/>
        </w:tabs>
        <w:ind w:left="567" w:hanging="567"/>
      </w:pPr>
      <w:rPr>
        <w:rFonts w:ascii="Symbol" w:hAnsi="Symbol" w:hint="default"/>
      </w:rPr>
    </w:lvl>
  </w:abstractNum>
  <w:abstractNum w:abstractNumId="29" w15:restartNumberingAfterBreak="0">
    <w:nsid w:val="77140181"/>
    <w:multiLevelType w:val="hybridMultilevel"/>
    <w:tmpl w:val="C53E58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CDA00B3"/>
    <w:multiLevelType w:val="singleLevel"/>
    <w:tmpl w:val="24785C3A"/>
    <w:lvl w:ilvl="0">
      <w:start w:val="1"/>
      <w:numFmt w:val="bullet"/>
      <w:lvlText w:val=""/>
      <w:lvlJc w:val="left"/>
      <w:pPr>
        <w:tabs>
          <w:tab w:val="num" w:pos="360"/>
        </w:tabs>
        <w:ind w:left="284" w:hanging="284"/>
      </w:pPr>
      <w:rPr>
        <w:rFonts w:ascii="Symbol" w:hAnsi="Symbol" w:hint="default"/>
      </w:rPr>
    </w:lvl>
  </w:abstractNum>
  <w:abstractNum w:abstractNumId="31" w15:restartNumberingAfterBreak="0">
    <w:nsid w:val="7CF729F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EC176DF"/>
    <w:multiLevelType w:val="singleLevel"/>
    <w:tmpl w:val="0CE4EAF2"/>
    <w:lvl w:ilvl="0">
      <w:start w:val="1"/>
      <w:numFmt w:val="bullet"/>
      <w:lvlText w:val=""/>
      <w:lvlJc w:val="left"/>
      <w:pPr>
        <w:tabs>
          <w:tab w:val="num" w:pos="567"/>
        </w:tabs>
        <w:ind w:left="567" w:hanging="567"/>
      </w:pPr>
      <w:rPr>
        <w:rFonts w:ascii="Symbol" w:hAnsi="Symbol" w:hint="default"/>
      </w:rPr>
    </w:lvl>
  </w:abstractNum>
  <w:abstractNum w:abstractNumId="33" w15:restartNumberingAfterBreak="0">
    <w:nsid w:val="7F564D06"/>
    <w:multiLevelType w:val="singleLevel"/>
    <w:tmpl w:val="61B4B952"/>
    <w:lvl w:ilvl="0">
      <w:start w:val="1"/>
      <w:numFmt w:val="bullet"/>
      <w:lvlText w:val=""/>
      <w:lvlJc w:val="left"/>
      <w:pPr>
        <w:tabs>
          <w:tab w:val="num" w:pos="360"/>
        </w:tabs>
        <w:ind w:left="284" w:hanging="284"/>
      </w:pPr>
      <w:rPr>
        <w:rFonts w:ascii="Symbol" w:hAnsi="Symbol" w:hint="default"/>
      </w:rPr>
    </w:lvl>
  </w:abstractNum>
  <w:num w:numId="1" w16cid:durableId="1025903867">
    <w:abstractNumId w:val="9"/>
  </w:num>
  <w:num w:numId="2" w16cid:durableId="1164274673">
    <w:abstractNumId w:val="17"/>
  </w:num>
  <w:num w:numId="3" w16cid:durableId="958148842">
    <w:abstractNumId w:val="30"/>
  </w:num>
  <w:num w:numId="4" w16cid:durableId="2052260809">
    <w:abstractNumId w:val="21"/>
  </w:num>
  <w:num w:numId="5" w16cid:durableId="619607127">
    <w:abstractNumId w:val="33"/>
  </w:num>
  <w:num w:numId="6" w16cid:durableId="1647855695">
    <w:abstractNumId w:val="15"/>
  </w:num>
  <w:num w:numId="7" w16cid:durableId="1821649776">
    <w:abstractNumId w:val="14"/>
  </w:num>
  <w:num w:numId="8" w16cid:durableId="1780100437">
    <w:abstractNumId w:val="23"/>
  </w:num>
  <w:num w:numId="9" w16cid:durableId="1687828638">
    <w:abstractNumId w:val="7"/>
  </w:num>
  <w:num w:numId="10" w16cid:durableId="279845857">
    <w:abstractNumId w:val="22"/>
  </w:num>
  <w:num w:numId="11" w16cid:durableId="2080446495">
    <w:abstractNumId w:val="25"/>
  </w:num>
  <w:num w:numId="12" w16cid:durableId="1771196329">
    <w:abstractNumId w:val="27"/>
  </w:num>
  <w:num w:numId="13" w16cid:durableId="72165645">
    <w:abstractNumId w:val="26"/>
  </w:num>
  <w:num w:numId="14" w16cid:durableId="617298340">
    <w:abstractNumId w:val="24"/>
  </w:num>
  <w:num w:numId="15" w16cid:durableId="1411342615">
    <w:abstractNumId w:val="32"/>
  </w:num>
  <w:num w:numId="16" w16cid:durableId="377972369">
    <w:abstractNumId w:val="28"/>
  </w:num>
  <w:num w:numId="17" w16cid:durableId="1164970639">
    <w:abstractNumId w:val="19"/>
  </w:num>
  <w:num w:numId="18" w16cid:durableId="2090806847">
    <w:abstractNumId w:val="12"/>
  </w:num>
  <w:num w:numId="19" w16cid:durableId="177627246">
    <w:abstractNumId w:val="3"/>
  </w:num>
  <w:num w:numId="20" w16cid:durableId="1763377477">
    <w:abstractNumId w:val="13"/>
  </w:num>
  <w:num w:numId="21" w16cid:durableId="1862087873">
    <w:abstractNumId w:val="18"/>
  </w:num>
  <w:num w:numId="22" w16cid:durableId="1117479946">
    <w:abstractNumId w:val="16"/>
  </w:num>
  <w:num w:numId="23" w16cid:durableId="121269375">
    <w:abstractNumId w:val="1"/>
  </w:num>
  <w:num w:numId="24" w16cid:durableId="1591619599">
    <w:abstractNumId w:val="4"/>
  </w:num>
  <w:num w:numId="25" w16cid:durableId="16509432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11130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6568867">
    <w:abstractNumId w:val="29"/>
  </w:num>
  <w:num w:numId="28" w16cid:durableId="739059627">
    <w:abstractNumId w:val="10"/>
  </w:num>
  <w:num w:numId="29" w16cid:durableId="37514761">
    <w:abstractNumId w:val="5"/>
  </w:num>
  <w:num w:numId="30" w16cid:durableId="1693602281">
    <w:abstractNumId w:val="6"/>
  </w:num>
  <w:num w:numId="31" w16cid:durableId="1785880535">
    <w:abstractNumId w:val="2"/>
  </w:num>
  <w:num w:numId="32" w16cid:durableId="421537990">
    <w:abstractNumId w:val="20"/>
  </w:num>
  <w:num w:numId="33" w16cid:durableId="2110005804">
    <w:abstractNumId w:val="31"/>
  </w:num>
  <w:num w:numId="34" w16cid:durableId="2012831211">
    <w:abstractNumId w:val="0"/>
  </w:num>
  <w:num w:numId="35" w16cid:durableId="5425942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GB"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C:\Archivi_TTNN\Database\TEMP\prova.txt"/>
  </w:mailMerge>
  <w:defaultTabStop w:val="567"/>
  <w:hyphenationZone w:val="283"/>
  <w:drawingGridHorizontalSpacing w:val="120"/>
  <w:displayHorizontalDrawingGridEvery w:val="0"/>
  <w:displayVerticalDrawingGridEvery w:val="0"/>
  <w:noPunctuationKerning/>
  <w:characterSpacingControl w:val="doNotCompress"/>
  <w:hdrShapeDefaults>
    <o:shapedefaults v:ext="edit" spidmax="2050"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alse" w:val=" "/>
    <w:docVar w:name="FileAllegati" w:val=" "/>
    <w:docVar w:name="GTDocApplicazione" w:val=" "/>
    <w:docVar w:name="GTDocCodUtente" w:val=" "/>
    <w:docVar w:name="GTDocDataCancellazione" w:val=" "/>
    <w:docVar w:name="GTDocDataCreazione" w:val=" "/>
    <w:docVar w:name="GTDocDataProtOut" w:val=" "/>
    <w:docVar w:name="GTDocDocPraId" w:val=" "/>
    <w:docVar w:name="GTDocDocumentoOrigine" w:val=" "/>
    <w:docVar w:name="GTDocFirmatoDa" w:val=" "/>
    <w:docVar w:name="GTDocImpronta" w:val=" "/>
    <w:docVar w:name="GTDocInRispostaA" w:val=" "/>
    <w:docVar w:name="GTDocInseritoDa" w:val=" "/>
    <w:docVar w:name="GTDocMittente" w:val=" "/>
    <w:docVar w:name="GTDocModello" w:val=" "/>
    <w:docVar w:name="GTDocModificatoDa" w:val=" "/>
    <w:docVar w:name="GTDocNome" w:val=" "/>
    <w:docVar w:name="GTDocOggetto" w:val=" "/>
    <w:docVar w:name="GTDocPraDescrizione" w:val=" "/>
    <w:docVar w:name="GTDocPreparatoDa" w:val=" "/>
    <w:docVar w:name="GTDocProtOut" w:val=" "/>
    <w:docVar w:name="GTDocStaId" w:val=" "/>
    <w:docVar w:name="GTDocTipSId" w:val=" "/>
    <w:docVar w:name="xDestinatariA" w:val=" "/>
    <w:docVar w:name="xDestinatariAALL" w:val=" "/>
    <w:docVar w:name="xDestinatariPC" w:val=" "/>
    <w:docVar w:name="xDestinatariPCALL" w:val=" "/>
    <w:docVar w:name="xInfoDestinatari" w:val=" "/>
    <w:docVar w:name="xStato" w:val=" "/>
    <w:docVar w:name="xTipoSpedizione" w:val=" "/>
  </w:docVars>
  <w:rsids>
    <w:rsidRoot w:val="00FE5C7A"/>
    <w:rsid w:val="0000366A"/>
    <w:rsid w:val="00005AB9"/>
    <w:rsid w:val="000065DC"/>
    <w:rsid w:val="000122D8"/>
    <w:rsid w:val="00017597"/>
    <w:rsid w:val="00020C18"/>
    <w:rsid w:val="00030388"/>
    <w:rsid w:val="00030692"/>
    <w:rsid w:val="00030CEE"/>
    <w:rsid w:val="00031DC0"/>
    <w:rsid w:val="000346C8"/>
    <w:rsid w:val="0003539A"/>
    <w:rsid w:val="00040523"/>
    <w:rsid w:val="000417AB"/>
    <w:rsid w:val="0004234F"/>
    <w:rsid w:val="00044B3D"/>
    <w:rsid w:val="0004611D"/>
    <w:rsid w:val="00046265"/>
    <w:rsid w:val="00056D2D"/>
    <w:rsid w:val="00057A42"/>
    <w:rsid w:val="0006314A"/>
    <w:rsid w:val="00063FC2"/>
    <w:rsid w:val="000660D8"/>
    <w:rsid w:val="0007133C"/>
    <w:rsid w:val="00074228"/>
    <w:rsid w:val="000809F9"/>
    <w:rsid w:val="00085BE3"/>
    <w:rsid w:val="000901D0"/>
    <w:rsid w:val="00096DDB"/>
    <w:rsid w:val="00097D06"/>
    <w:rsid w:val="000A1B10"/>
    <w:rsid w:val="000A2A48"/>
    <w:rsid w:val="000A58B8"/>
    <w:rsid w:val="000A66CC"/>
    <w:rsid w:val="000A6C69"/>
    <w:rsid w:val="000B0CF0"/>
    <w:rsid w:val="000B5926"/>
    <w:rsid w:val="000B5ADB"/>
    <w:rsid w:val="000C006A"/>
    <w:rsid w:val="000C1032"/>
    <w:rsid w:val="000C4A70"/>
    <w:rsid w:val="000D43DA"/>
    <w:rsid w:val="000D6FBC"/>
    <w:rsid w:val="000E0102"/>
    <w:rsid w:val="000E3B51"/>
    <w:rsid w:val="000E4B65"/>
    <w:rsid w:val="000E6756"/>
    <w:rsid w:val="000E7C84"/>
    <w:rsid w:val="000F1B23"/>
    <w:rsid w:val="000F23F2"/>
    <w:rsid w:val="000F40EA"/>
    <w:rsid w:val="000F5866"/>
    <w:rsid w:val="000F7627"/>
    <w:rsid w:val="00110378"/>
    <w:rsid w:val="001104A8"/>
    <w:rsid w:val="001221E6"/>
    <w:rsid w:val="00124BC6"/>
    <w:rsid w:val="001306CF"/>
    <w:rsid w:val="00135EBA"/>
    <w:rsid w:val="00136622"/>
    <w:rsid w:val="00137455"/>
    <w:rsid w:val="0014112D"/>
    <w:rsid w:val="0014295C"/>
    <w:rsid w:val="00146EC8"/>
    <w:rsid w:val="00150EFE"/>
    <w:rsid w:val="00155B75"/>
    <w:rsid w:val="001615B5"/>
    <w:rsid w:val="001647DB"/>
    <w:rsid w:val="0017163B"/>
    <w:rsid w:val="00173728"/>
    <w:rsid w:val="0017593D"/>
    <w:rsid w:val="00183B35"/>
    <w:rsid w:val="001874AD"/>
    <w:rsid w:val="0019218A"/>
    <w:rsid w:val="00192CB7"/>
    <w:rsid w:val="00195AD6"/>
    <w:rsid w:val="00196B56"/>
    <w:rsid w:val="001A043E"/>
    <w:rsid w:val="001A30DE"/>
    <w:rsid w:val="001A47B3"/>
    <w:rsid w:val="001B0DC0"/>
    <w:rsid w:val="001B3700"/>
    <w:rsid w:val="001B3A9F"/>
    <w:rsid w:val="001C15FD"/>
    <w:rsid w:val="001C3C98"/>
    <w:rsid w:val="001D1D0D"/>
    <w:rsid w:val="001D5CA7"/>
    <w:rsid w:val="001E3AA8"/>
    <w:rsid w:val="001F1D8F"/>
    <w:rsid w:val="001F4DAD"/>
    <w:rsid w:val="00203375"/>
    <w:rsid w:val="0020474B"/>
    <w:rsid w:val="00206BEC"/>
    <w:rsid w:val="0021214E"/>
    <w:rsid w:val="00212CCB"/>
    <w:rsid w:val="002166B6"/>
    <w:rsid w:val="002210AF"/>
    <w:rsid w:val="00221C97"/>
    <w:rsid w:val="002239A4"/>
    <w:rsid w:val="00224DD1"/>
    <w:rsid w:val="0022521B"/>
    <w:rsid w:val="002254F1"/>
    <w:rsid w:val="00230D9D"/>
    <w:rsid w:val="002331AC"/>
    <w:rsid w:val="00235615"/>
    <w:rsid w:val="0023653F"/>
    <w:rsid w:val="002410FA"/>
    <w:rsid w:val="002442A7"/>
    <w:rsid w:val="00247874"/>
    <w:rsid w:val="00247C25"/>
    <w:rsid w:val="00254C08"/>
    <w:rsid w:val="0025679F"/>
    <w:rsid w:val="00264A6D"/>
    <w:rsid w:val="00265979"/>
    <w:rsid w:val="002664DE"/>
    <w:rsid w:val="002706CA"/>
    <w:rsid w:val="00270FBF"/>
    <w:rsid w:val="0027235B"/>
    <w:rsid w:val="00277210"/>
    <w:rsid w:val="0028513F"/>
    <w:rsid w:val="00286D1D"/>
    <w:rsid w:val="002974EC"/>
    <w:rsid w:val="00297A66"/>
    <w:rsid w:val="002A5477"/>
    <w:rsid w:val="002B0693"/>
    <w:rsid w:val="002B1F67"/>
    <w:rsid w:val="002B3259"/>
    <w:rsid w:val="002B3C1A"/>
    <w:rsid w:val="002B5AFE"/>
    <w:rsid w:val="002C39BD"/>
    <w:rsid w:val="002C5A73"/>
    <w:rsid w:val="002C7AF4"/>
    <w:rsid w:val="002D11E0"/>
    <w:rsid w:val="002D61F7"/>
    <w:rsid w:val="002D7CF8"/>
    <w:rsid w:val="002E22AB"/>
    <w:rsid w:val="002E35C2"/>
    <w:rsid w:val="002E64F0"/>
    <w:rsid w:val="002E6C52"/>
    <w:rsid w:val="002E79D5"/>
    <w:rsid w:val="002F00A9"/>
    <w:rsid w:val="002F1A04"/>
    <w:rsid w:val="002F2C84"/>
    <w:rsid w:val="002F3457"/>
    <w:rsid w:val="002F5177"/>
    <w:rsid w:val="002F55AB"/>
    <w:rsid w:val="002F5A97"/>
    <w:rsid w:val="003065C6"/>
    <w:rsid w:val="0030697F"/>
    <w:rsid w:val="00307A88"/>
    <w:rsid w:val="003107B3"/>
    <w:rsid w:val="00314069"/>
    <w:rsid w:val="00315CCE"/>
    <w:rsid w:val="00316CA3"/>
    <w:rsid w:val="00321B5D"/>
    <w:rsid w:val="00321CC5"/>
    <w:rsid w:val="00321F2C"/>
    <w:rsid w:val="00324270"/>
    <w:rsid w:val="00324303"/>
    <w:rsid w:val="00327226"/>
    <w:rsid w:val="00332FAA"/>
    <w:rsid w:val="00340239"/>
    <w:rsid w:val="00340676"/>
    <w:rsid w:val="00342E76"/>
    <w:rsid w:val="00345BCC"/>
    <w:rsid w:val="0035196C"/>
    <w:rsid w:val="00356AAD"/>
    <w:rsid w:val="00361B29"/>
    <w:rsid w:val="00365B60"/>
    <w:rsid w:val="003675B1"/>
    <w:rsid w:val="00370BB6"/>
    <w:rsid w:val="00371D50"/>
    <w:rsid w:val="00377A75"/>
    <w:rsid w:val="00381D45"/>
    <w:rsid w:val="003A3B55"/>
    <w:rsid w:val="003B143F"/>
    <w:rsid w:val="003B2787"/>
    <w:rsid w:val="003B503D"/>
    <w:rsid w:val="003B5301"/>
    <w:rsid w:val="003C07B6"/>
    <w:rsid w:val="003C7E51"/>
    <w:rsid w:val="003D501E"/>
    <w:rsid w:val="003E2F90"/>
    <w:rsid w:val="003E67CD"/>
    <w:rsid w:val="003E6997"/>
    <w:rsid w:val="003E7128"/>
    <w:rsid w:val="003F3284"/>
    <w:rsid w:val="003F64FC"/>
    <w:rsid w:val="003F7316"/>
    <w:rsid w:val="003F7B27"/>
    <w:rsid w:val="00404740"/>
    <w:rsid w:val="00404A30"/>
    <w:rsid w:val="004070BD"/>
    <w:rsid w:val="0040790A"/>
    <w:rsid w:val="004129FE"/>
    <w:rsid w:val="004139B3"/>
    <w:rsid w:val="00414CA1"/>
    <w:rsid w:val="00415B9E"/>
    <w:rsid w:val="00416674"/>
    <w:rsid w:val="00423496"/>
    <w:rsid w:val="00424AD5"/>
    <w:rsid w:val="004253B3"/>
    <w:rsid w:val="00426ED4"/>
    <w:rsid w:val="004274D2"/>
    <w:rsid w:val="00431FDE"/>
    <w:rsid w:val="00433893"/>
    <w:rsid w:val="00437637"/>
    <w:rsid w:val="00445957"/>
    <w:rsid w:val="00452C75"/>
    <w:rsid w:val="00453284"/>
    <w:rsid w:val="0045493B"/>
    <w:rsid w:val="00455730"/>
    <w:rsid w:val="00455CEA"/>
    <w:rsid w:val="00460E2A"/>
    <w:rsid w:val="004665C9"/>
    <w:rsid w:val="004700F6"/>
    <w:rsid w:val="0047793C"/>
    <w:rsid w:val="00480255"/>
    <w:rsid w:val="004813EB"/>
    <w:rsid w:val="00484A31"/>
    <w:rsid w:val="00485D3A"/>
    <w:rsid w:val="00486363"/>
    <w:rsid w:val="00487269"/>
    <w:rsid w:val="00492987"/>
    <w:rsid w:val="0049312B"/>
    <w:rsid w:val="0049336A"/>
    <w:rsid w:val="004933FB"/>
    <w:rsid w:val="004960E2"/>
    <w:rsid w:val="004B2423"/>
    <w:rsid w:val="004B639B"/>
    <w:rsid w:val="004C0476"/>
    <w:rsid w:val="004C14F5"/>
    <w:rsid w:val="004C6222"/>
    <w:rsid w:val="004D28BD"/>
    <w:rsid w:val="004E0F02"/>
    <w:rsid w:val="004E79E4"/>
    <w:rsid w:val="004E7AC4"/>
    <w:rsid w:val="004F6489"/>
    <w:rsid w:val="004F655D"/>
    <w:rsid w:val="00502ED0"/>
    <w:rsid w:val="005049B2"/>
    <w:rsid w:val="005053DB"/>
    <w:rsid w:val="00516004"/>
    <w:rsid w:val="00517B49"/>
    <w:rsid w:val="005336DF"/>
    <w:rsid w:val="00534ADE"/>
    <w:rsid w:val="0053637D"/>
    <w:rsid w:val="00542A07"/>
    <w:rsid w:val="00543981"/>
    <w:rsid w:val="00544790"/>
    <w:rsid w:val="00546180"/>
    <w:rsid w:val="00553370"/>
    <w:rsid w:val="00554CC9"/>
    <w:rsid w:val="00557440"/>
    <w:rsid w:val="005733C3"/>
    <w:rsid w:val="00576641"/>
    <w:rsid w:val="00582B95"/>
    <w:rsid w:val="0058510A"/>
    <w:rsid w:val="00585B16"/>
    <w:rsid w:val="00585EAE"/>
    <w:rsid w:val="00586AD7"/>
    <w:rsid w:val="00592DEC"/>
    <w:rsid w:val="00597099"/>
    <w:rsid w:val="005A0086"/>
    <w:rsid w:val="005A153D"/>
    <w:rsid w:val="005A165A"/>
    <w:rsid w:val="005A3C62"/>
    <w:rsid w:val="005A52D6"/>
    <w:rsid w:val="005A75CE"/>
    <w:rsid w:val="005B257B"/>
    <w:rsid w:val="005C5A0B"/>
    <w:rsid w:val="005C6179"/>
    <w:rsid w:val="005C7359"/>
    <w:rsid w:val="005C7488"/>
    <w:rsid w:val="005D1BB1"/>
    <w:rsid w:val="005D1BC8"/>
    <w:rsid w:val="005E0B65"/>
    <w:rsid w:val="005E15FD"/>
    <w:rsid w:val="005F19AA"/>
    <w:rsid w:val="005F3236"/>
    <w:rsid w:val="00600259"/>
    <w:rsid w:val="00602DFB"/>
    <w:rsid w:val="00605BC7"/>
    <w:rsid w:val="006064C3"/>
    <w:rsid w:val="00616D51"/>
    <w:rsid w:val="00617F4F"/>
    <w:rsid w:val="00617FCD"/>
    <w:rsid w:val="00632F33"/>
    <w:rsid w:val="00637219"/>
    <w:rsid w:val="00641136"/>
    <w:rsid w:val="0064493F"/>
    <w:rsid w:val="006478F2"/>
    <w:rsid w:val="00650E87"/>
    <w:rsid w:val="006535CE"/>
    <w:rsid w:val="00653DFB"/>
    <w:rsid w:val="0065613A"/>
    <w:rsid w:val="006620DC"/>
    <w:rsid w:val="006709A1"/>
    <w:rsid w:val="00672838"/>
    <w:rsid w:val="006749DB"/>
    <w:rsid w:val="006825BA"/>
    <w:rsid w:val="0068364B"/>
    <w:rsid w:val="0068414D"/>
    <w:rsid w:val="00684EBD"/>
    <w:rsid w:val="00685649"/>
    <w:rsid w:val="00687CC4"/>
    <w:rsid w:val="00697B50"/>
    <w:rsid w:val="006A4D09"/>
    <w:rsid w:val="006A59DC"/>
    <w:rsid w:val="006B4F5F"/>
    <w:rsid w:val="006B677C"/>
    <w:rsid w:val="006D372F"/>
    <w:rsid w:val="006D38BC"/>
    <w:rsid w:val="006E0CAA"/>
    <w:rsid w:val="006E3048"/>
    <w:rsid w:val="006E30E9"/>
    <w:rsid w:val="006E3B56"/>
    <w:rsid w:val="006F101B"/>
    <w:rsid w:val="006F5749"/>
    <w:rsid w:val="006F7642"/>
    <w:rsid w:val="00704359"/>
    <w:rsid w:val="00704669"/>
    <w:rsid w:val="00705446"/>
    <w:rsid w:val="00707660"/>
    <w:rsid w:val="007105FD"/>
    <w:rsid w:val="00715D39"/>
    <w:rsid w:val="00723812"/>
    <w:rsid w:val="00724EEE"/>
    <w:rsid w:val="00730CF6"/>
    <w:rsid w:val="00734EF8"/>
    <w:rsid w:val="00737018"/>
    <w:rsid w:val="00740682"/>
    <w:rsid w:val="00740A1D"/>
    <w:rsid w:val="00744B1C"/>
    <w:rsid w:val="00746962"/>
    <w:rsid w:val="00750A08"/>
    <w:rsid w:val="00756C8E"/>
    <w:rsid w:val="0076202D"/>
    <w:rsid w:val="00764D14"/>
    <w:rsid w:val="00770E75"/>
    <w:rsid w:val="00772B72"/>
    <w:rsid w:val="00781D88"/>
    <w:rsid w:val="00783D9E"/>
    <w:rsid w:val="00787E3B"/>
    <w:rsid w:val="007918F9"/>
    <w:rsid w:val="00792684"/>
    <w:rsid w:val="0079489D"/>
    <w:rsid w:val="007959A7"/>
    <w:rsid w:val="00796771"/>
    <w:rsid w:val="007A412F"/>
    <w:rsid w:val="007A4B9A"/>
    <w:rsid w:val="007A7977"/>
    <w:rsid w:val="007B20E9"/>
    <w:rsid w:val="007B28AD"/>
    <w:rsid w:val="007B3ACE"/>
    <w:rsid w:val="007B3CFA"/>
    <w:rsid w:val="007B78F7"/>
    <w:rsid w:val="007C1483"/>
    <w:rsid w:val="007C62F9"/>
    <w:rsid w:val="007E13BA"/>
    <w:rsid w:val="007E5BC5"/>
    <w:rsid w:val="007E6CFF"/>
    <w:rsid w:val="007E7C16"/>
    <w:rsid w:val="007F1E66"/>
    <w:rsid w:val="007F20BB"/>
    <w:rsid w:val="007F369C"/>
    <w:rsid w:val="00800EA0"/>
    <w:rsid w:val="0081350E"/>
    <w:rsid w:val="00813851"/>
    <w:rsid w:val="00814FD1"/>
    <w:rsid w:val="008164CE"/>
    <w:rsid w:val="00816963"/>
    <w:rsid w:val="00817104"/>
    <w:rsid w:val="00817461"/>
    <w:rsid w:val="0082657B"/>
    <w:rsid w:val="00826A9A"/>
    <w:rsid w:val="008319B5"/>
    <w:rsid w:val="00836FBD"/>
    <w:rsid w:val="00837562"/>
    <w:rsid w:val="00842DBB"/>
    <w:rsid w:val="008443AB"/>
    <w:rsid w:val="0084697C"/>
    <w:rsid w:val="00850192"/>
    <w:rsid w:val="00853940"/>
    <w:rsid w:val="00855FE0"/>
    <w:rsid w:val="00860D58"/>
    <w:rsid w:val="00861670"/>
    <w:rsid w:val="00864138"/>
    <w:rsid w:val="00864B0B"/>
    <w:rsid w:val="00866421"/>
    <w:rsid w:val="00866464"/>
    <w:rsid w:val="00866A92"/>
    <w:rsid w:val="00872FA7"/>
    <w:rsid w:val="008807DC"/>
    <w:rsid w:val="00882D32"/>
    <w:rsid w:val="00882E6F"/>
    <w:rsid w:val="008854D8"/>
    <w:rsid w:val="00886D8A"/>
    <w:rsid w:val="00887EDC"/>
    <w:rsid w:val="008909A4"/>
    <w:rsid w:val="00890C24"/>
    <w:rsid w:val="00892D66"/>
    <w:rsid w:val="00896241"/>
    <w:rsid w:val="00897142"/>
    <w:rsid w:val="00897DDC"/>
    <w:rsid w:val="008A29A0"/>
    <w:rsid w:val="008A5E8F"/>
    <w:rsid w:val="008B30F8"/>
    <w:rsid w:val="008B37E5"/>
    <w:rsid w:val="008B4C85"/>
    <w:rsid w:val="008B7480"/>
    <w:rsid w:val="008C1366"/>
    <w:rsid w:val="008C69DA"/>
    <w:rsid w:val="008C6A1E"/>
    <w:rsid w:val="008D09A8"/>
    <w:rsid w:val="008D47CF"/>
    <w:rsid w:val="008E196E"/>
    <w:rsid w:val="008E3247"/>
    <w:rsid w:val="008F3944"/>
    <w:rsid w:val="008F4A16"/>
    <w:rsid w:val="00901406"/>
    <w:rsid w:val="00902B59"/>
    <w:rsid w:val="00904186"/>
    <w:rsid w:val="009064FE"/>
    <w:rsid w:val="0090663E"/>
    <w:rsid w:val="00913695"/>
    <w:rsid w:val="009154BF"/>
    <w:rsid w:val="00916E63"/>
    <w:rsid w:val="00917C04"/>
    <w:rsid w:val="00920559"/>
    <w:rsid w:val="00922F61"/>
    <w:rsid w:val="00934A87"/>
    <w:rsid w:val="009355A1"/>
    <w:rsid w:val="00935B1C"/>
    <w:rsid w:val="009518BD"/>
    <w:rsid w:val="00955573"/>
    <w:rsid w:val="00956605"/>
    <w:rsid w:val="00963FF5"/>
    <w:rsid w:val="009700BF"/>
    <w:rsid w:val="0097090F"/>
    <w:rsid w:val="009722BE"/>
    <w:rsid w:val="00973DA8"/>
    <w:rsid w:val="00982155"/>
    <w:rsid w:val="00982B8A"/>
    <w:rsid w:val="00983830"/>
    <w:rsid w:val="00983D4D"/>
    <w:rsid w:val="009859A0"/>
    <w:rsid w:val="00990A10"/>
    <w:rsid w:val="009935E6"/>
    <w:rsid w:val="0099394F"/>
    <w:rsid w:val="0099600B"/>
    <w:rsid w:val="00996B52"/>
    <w:rsid w:val="009A3D89"/>
    <w:rsid w:val="009A5473"/>
    <w:rsid w:val="009B30B5"/>
    <w:rsid w:val="009B486E"/>
    <w:rsid w:val="009B645D"/>
    <w:rsid w:val="009B7E28"/>
    <w:rsid w:val="009C1B44"/>
    <w:rsid w:val="009C2CD3"/>
    <w:rsid w:val="009C3338"/>
    <w:rsid w:val="009C6861"/>
    <w:rsid w:val="009D4D5A"/>
    <w:rsid w:val="009E2750"/>
    <w:rsid w:val="009E640E"/>
    <w:rsid w:val="009F0533"/>
    <w:rsid w:val="009F1880"/>
    <w:rsid w:val="00A0033D"/>
    <w:rsid w:val="00A0113F"/>
    <w:rsid w:val="00A012BC"/>
    <w:rsid w:val="00A05FCC"/>
    <w:rsid w:val="00A0667E"/>
    <w:rsid w:val="00A075E0"/>
    <w:rsid w:val="00A10EB1"/>
    <w:rsid w:val="00A159A7"/>
    <w:rsid w:val="00A15F1D"/>
    <w:rsid w:val="00A23FB1"/>
    <w:rsid w:val="00A30F52"/>
    <w:rsid w:val="00A3308A"/>
    <w:rsid w:val="00A42631"/>
    <w:rsid w:val="00A43005"/>
    <w:rsid w:val="00A474D0"/>
    <w:rsid w:val="00A541E4"/>
    <w:rsid w:val="00A55CE2"/>
    <w:rsid w:val="00A56690"/>
    <w:rsid w:val="00A612C0"/>
    <w:rsid w:val="00A61B82"/>
    <w:rsid w:val="00A67D3E"/>
    <w:rsid w:val="00A75EDC"/>
    <w:rsid w:val="00A76241"/>
    <w:rsid w:val="00A86AF1"/>
    <w:rsid w:val="00A91C12"/>
    <w:rsid w:val="00A91DD9"/>
    <w:rsid w:val="00A97583"/>
    <w:rsid w:val="00AA04EB"/>
    <w:rsid w:val="00AA4B14"/>
    <w:rsid w:val="00AB22BD"/>
    <w:rsid w:val="00AB27FE"/>
    <w:rsid w:val="00AB2B98"/>
    <w:rsid w:val="00AC156F"/>
    <w:rsid w:val="00AC3B62"/>
    <w:rsid w:val="00AC4BC6"/>
    <w:rsid w:val="00AC5A64"/>
    <w:rsid w:val="00AD1431"/>
    <w:rsid w:val="00AD66BF"/>
    <w:rsid w:val="00AD7ADB"/>
    <w:rsid w:val="00AE011D"/>
    <w:rsid w:val="00AE4063"/>
    <w:rsid w:val="00AF1DD5"/>
    <w:rsid w:val="00AF20D7"/>
    <w:rsid w:val="00AF2F14"/>
    <w:rsid w:val="00AF3DF8"/>
    <w:rsid w:val="00AF572D"/>
    <w:rsid w:val="00B02B3F"/>
    <w:rsid w:val="00B0397C"/>
    <w:rsid w:val="00B03BEC"/>
    <w:rsid w:val="00B05F1D"/>
    <w:rsid w:val="00B07CFF"/>
    <w:rsid w:val="00B10821"/>
    <w:rsid w:val="00B14D20"/>
    <w:rsid w:val="00B2360E"/>
    <w:rsid w:val="00B353B8"/>
    <w:rsid w:val="00B362EB"/>
    <w:rsid w:val="00B377F7"/>
    <w:rsid w:val="00B40F28"/>
    <w:rsid w:val="00B424D4"/>
    <w:rsid w:val="00B43F2C"/>
    <w:rsid w:val="00B51E2F"/>
    <w:rsid w:val="00B52B88"/>
    <w:rsid w:val="00B61523"/>
    <w:rsid w:val="00B62BF3"/>
    <w:rsid w:val="00B63F52"/>
    <w:rsid w:val="00B67724"/>
    <w:rsid w:val="00B706C3"/>
    <w:rsid w:val="00B71594"/>
    <w:rsid w:val="00B71A80"/>
    <w:rsid w:val="00B75EB4"/>
    <w:rsid w:val="00B80E97"/>
    <w:rsid w:val="00B811C7"/>
    <w:rsid w:val="00B81390"/>
    <w:rsid w:val="00B82F9B"/>
    <w:rsid w:val="00B869B6"/>
    <w:rsid w:val="00B90C44"/>
    <w:rsid w:val="00B947EE"/>
    <w:rsid w:val="00BA1897"/>
    <w:rsid w:val="00BA6C7F"/>
    <w:rsid w:val="00BA7B20"/>
    <w:rsid w:val="00BB1CE2"/>
    <w:rsid w:val="00BB7DC4"/>
    <w:rsid w:val="00BC0D27"/>
    <w:rsid w:val="00BC148D"/>
    <w:rsid w:val="00BC4B33"/>
    <w:rsid w:val="00BC74D9"/>
    <w:rsid w:val="00BD7116"/>
    <w:rsid w:val="00BD7154"/>
    <w:rsid w:val="00BE24EC"/>
    <w:rsid w:val="00BE486C"/>
    <w:rsid w:val="00BE61B4"/>
    <w:rsid w:val="00BE6EF2"/>
    <w:rsid w:val="00BE7CC9"/>
    <w:rsid w:val="00BF0C2A"/>
    <w:rsid w:val="00BF10F8"/>
    <w:rsid w:val="00BF52CF"/>
    <w:rsid w:val="00C03773"/>
    <w:rsid w:val="00C04124"/>
    <w:rsid w:val="00C17D79"/>
    <w:rsid w:val="00C2137F"/>
    <w:rsid w:val="00C255D6"/>
    <w:rsid w:val="00C261B9"/>
    <w:rsid w:val="00C37F32"/>
    <w:rsid w:val="00C42B48"/>
    <w:rsid w:val="00C4569F"/>
    <w:rsid w:val="00C51DF1"/>
    <w:rsid w:val="00C573D6"/>
    <w:rsid w:val="00C6022D"/>
    <w:rsid w:val="00C63ABE"/>
    <w:rsid w:val="00C729C1"/>
    <w:rsid w:val="00C76728"/>
    <w:rsid w:val="00C80F86"/>
    <w:rsid w:val="00C90385"/>
    <w:rsid w:val="00C9073B"/>
    <w:rsid w:val="00C916DC"/>
    <w:rsid w:val="00C918CD"/>
    <w:rsid w:val="00C965C5"/>
    <w:rsid w:val="00C96739"/>
    <w:rsid w:val="00C96EBD"/>
    <w:rsid w:val="00CA0AEB"/>
    <w:rsid w:val="00CA4EDD"/>
    <w:rsid w:val="00CA7363"/>
    <w:rsid w:val="00CB13EE"/>
    <w:rsid w:val="00CB6EA3"/>
    <w:rsid w:val="00CB7588"/>
    <w:rsid w:val="00CC28C4"/>
    <w:rsid w:val="00CC41DF"/>
    <w:rsid w:val="00CC60F0"/>
    <w:rsid w:val="00CC6450"/>
    <w:rsid w:val="00CD578C"/>
    <w:rsid w:val="00CD5983"/>
    <w:rsid w:val="00CE65D0"/>
    <w:rsid w:val="00CF1ADA"/>
    <w:rsid w:val="00CF3B33"/>
    <w:rsid w:val="00CF5681"/>
    <w:rsid w:val="00CF7817"/>
    <w:rsid w:val="00D029D9"/>
    <w:rsid w:val="00D03B38"/>
    <w:rsid w:val="00D0427A"/>
    <w:rsid w:val="00D0644E"/>
    <w:rsid w:val="00D07721"/>
    <w:rsid w:val="00D13812"/>
    <w:rsid w:val="00D15275"/>
    <w:rsid w:val="00D1655A"/>
    <w:rsid w:val="00D17A0E"/>
    <w:rsid w:val="00D216BC"/>
    <w:rsid w:val="00D26BE4"/>
    <w:rsid w:val="00D37200"/>
    <w:rsid w:val="00D37A92"/>
    <w:rsid w:val="00D40B12"/>
    <w:rsid w:val="00D4295D"/>
    <w:rsid w:val="00D42D10"/>
    <w:rsid w:val="00D51F98"/>
    <w:rsid w:val="00D52EBC"/>
    <w:rsid w:val="00D53531"/>
    <w:rsid w:val="00D55519"/>
    <w:rsid w:val="00D567CB"/>
    <w:rsid w:val="00D56B10"/>
    <w:rsid w:val="00D574EF"/>
    <w:rsid w:val="00D63FB8"/>
    <w:rsid w:val="00D66020"/>
    <w:rsid w:val="00D70119"/>
    <w:rsid w:val="00D71B50"/>
    <w:rsid w:val="00D73642"/>
    <w:rsid w:val="00D73A00"/>
    <w:rsid w:val="00D7708C"/>
    <w:rsid w:val="00D83072"/>
    <w:rsid w:val="00D8664C"/>
    <w:rsid w:val="00D87267"/>
    <w:rsid w:val="00D91349"/>
    <w:rsid w:val="00D9491F"/>
    <w:rsid w:val="00DA53A5"/>
    <w:rsid w:val="00DC0D16"/>
    <w:rsid w:val="00DC1971"/>
    <w:rsid w:val="00DD247F"/>
    <w:rsid w:val="00DD2780"/>
    <w:rsid w:val="00DD71A3"/>
    <w:rsid w:val="00DD7818"/>
    <w:rsid w:val="00DE0713"/>
    <w:rsid w:val="00DE14AB"/>
    <w:rsid w:val="00DE1F2E"/>
    <w:rsid w:val="00DE2817"/>
    <w:rsid w:val="00DE2BAC"/>
    <w:rsid w:val="00DE2D1E"/>
    <w:rsid w:val="00DE4A52"/>
    <w:rsid w:val="00DE6FD6"/>
    <w:rsid w:val="00DF1EDE"/>
    <w:rsid w:val="00DF1F5C"/>
    <w:rsid w:val="00DF475B"/>
    <w:rsid w:val="00DF4BDD"/>
    <w:rsid w:val="00E014BC"/>
    <w:rsid w:val="00E021BB"/>
    <w:rsid w:val="00E025F7"/>
    <w:rsid w:val="00E05FF1"/>
    <w:rsid w:val="00E104E8"/>
    <w:rsid w:val="00E10C62"/>
    <w:rsid w:val="00E1218C"/>
    <w:rsid w:val="00E17447"/>
    <w:rsid w:val="00E17BB6"/>
    <w:rsid w:val="00E21821"/>
    <w:rsid w:val="00E3317E"/>
    <w:rsid w:val="00E36AF6"/>
    <w:rsid w:val="00E42A54"/>
    <w:rsid w:val="00E4346A"/>
    <w:rsid w:val="00E43CC6"/>
    <w:rsid w:val="00E44779"/>
    <w:rsid w:val="00E50B42"/>
    <w:rsid w:val="00E51ACF"/>
    <w:rsid w:val="00E5519C"/>
    <w:rsid w:val="00E60959"/>
    <w:rsid w:val="00E625A1"/>
    <w:rsid w:val="00E63243"/>
    <w:rsid w:val="00E6453A"/>
    <w:rsid w:val="00E650AB"/>
    <w:rsid w:val="00E70E95"/>
    <w:rsid w:val="00E757B9"/>
    <w:rsid w:val="00E75842"/>
    <w:rsid w:val="00E76EF9"/>
    <w:rsid w:val="00E92469"/>
    <w:rsid w:val="00E9404F"/>
    <w:rsid w:val="00E941C8"/>
    <w:rsid w:val="00E94F74"/>
    <w:rsid w:val="00E955FC"/>
    <w:rsid w:val="00E9620F"/>
    <w:rsid w:val="00E96B95"/>
    <w:rsid w:val="00E970D0"/>
    <w:rsid w:val="00E97621"/>
    <w:rsid w:val="00EA05BD"/>
    <w:rsid w:val="00EA1413"/>
    <w:rsid w:val="00EA1A49"/>
    <w:rsid w:val="00EA58B5"/>
    <w:rsid w:val="00EB1B9E"/>
    <w:rsid w:val="00EB4A02"/>
    <w:rsid w:val="00EB56E7"/>
    <w:rsid w:val="00EB7326"/>
    <w:rsid w:val="00EB7DFC"/>
    <w:rsid w:val="00EC09F7"/>
    <w:rsid w:val="00EC21CD"/>
    <w:rsid w:val="00EC3FB4"/>
    <w:rsid w:val="00ED1BE4"/>
    <w:rsid w:val="00ED718F"/>
    <w:rsid w:val="00ED7971"/>
    <w:rsid w:val="00EE1F0B"/>
    <w:rsid w:val="00EE6391"/>
    <w:rsid w:val="00EF05D1"/>
    <w:rsid w:val="00F04F6B"/>
    <w:rsid w:val="00F11143"/>
    <w:rsid w:val="00F11AF1"/>
    <w:rsid w:val="00F17229"/>
    <w:rsid w:val="00F218D4"/>
    <w:rsid w:val="00F23147"/>
    <w:rsid w:val="00F37148"/>
    <w:rsid w:val="00F37993"/>
    <w:rsid w:val="00F40A66"/>
    <w:rsid w:val="00F41964"/>
    <w:rsid w:val="00F42D1B"/>
    <w:rsid w:val="00F42E6C"/>
    <w:rsid w:val="00F443DE"/>
    <w:rsid w:val="00F447F4"/>
    <w:rsid w:val="00F51C92"/>
    <w:rsid w:val="00F5247F"/>
    <w:rsid w:val="00F53B57"/>
    <w:rsid w:val="00F62288"/>
    <w:rsid w:val="00F6486D"/>
    <w:rsid w:val="00F72B0C"/>
    <w:rsid w:val="00F743CE"/>
    <w:rsid w:val="00F75505"/>
    <w:rsid w:val="00F83EB4"/>
    <w:rsid w:val="00F85E75"/>
    <w:rsid w:val="00F90AC7"/>
    <w:rsid w:val="00F90F98"/>
    <w:rsid w:val="00F917D1"/>
    <w:rsid w:val="00F944DA"/>
    <w:rsid w:val="00F96990"/>
    <w:rsid w:val="00FA1F9A"/>
    <w:rsid w:val="00FA40F3"/>
    <w:rsid w:val="00FA5B35"/>
    <w:rsid w:val="00FA6A9C"/>
    <w:rsid w:val="00FB0276"/>
    <w:rsid w:val="00FB247A"/>
    <w:rsid w:val="00FB581D"/>
    <w:rsid w:val="00FC0B4B"/>
    <w:rsid w:val="00FC2914"/>
    <w:rsid w:val="00FC57CB"/>
    <w:rsid w:val="00FD6E7B"/>
    <w:rsid w:val="00FE10AC"/>
    <w:rsid w:val="00FE34BC"/>
    <w:rsid w:val="00FE5C7A"/>
    <w:rsid w:val="00FF4EB4"/>
    <w:rsid w:val="00FF556E"/>
    <w:rsid w:val="00FF6A43"/>
    <w:rsid w:val="00FF6C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indow" stroke="f">
      <v:fill color="window" on="f"/>
      <v:stroke on="f"/>
    </o:shapedefaults>
    <o:shapelayout v:ext="edit">
      <o:idmap v:ext="edit" data="2"/>
    </o:shapelayout>
  </w:shapeDefaults>
  <w:decimalSymbol w:val=","/>
  <w:listSeparator w:val=";"/>
  <w14:docId w14:val="1009A185"/>
  <w15:docId w15:val="{27CCF6BD-3E52-401F-8CF3-550EC73E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23FB1"/>
    <w:pPr>
      <w:jc w:val="both"/>
    </w:pPr>
    <w:rPr>
      <w:rFonts w:ascii="Arial" w:hAnsi="Arial"/>
      <w:sz w:val="24"/>
    </w:rPr>
  </w:style>
  <w:style w:type="paragraph" w:styleId="Titolo1">
    <w:name w:val="heading 1"/>
    <w:basedOn w:val="Normale"/>
    <w:next w:val="Normale"/>
    <w:qFormat/>
    <w:pPr>
      <w:keepNext/>
      <w:jc w:val="center"/>
      <w:outlineLvl w:val="0"/>
    </w:pPr>
    <w:rPr>
      <w:b/>
      <w:sz w:val="12"/>
    </w:rPr>
  </w:style>
  <w:style w:type="paragraph" w:styleId="Titolo2">
    <w:name w:val="heading 2"/>
    <w:basedOn w:val="Normale"/>
    <w:next w:val="Normale"/>
    <w:qFormat/>
    <w:pPr>
      <w:keepNext/>
      <w:jc w:val="center"/>
      <w:outlineLvl w:val="1"/>
    </w:pPr>
    <w:rPr>
      <w:b/>
      <w:i/>
      <w:sz w:val="12"/>
    </w:rPr>
  </w:style>
  <w:style w:type="paragraph" w:styleId="Titolo3">
    <w:name w:val="heading 3"/>
    <w:basedOn w:val="Normale"/>
    <w:next w:val="Normale"/>
    <w:qFormat/>
    <w:pPr>
      <w:keepNext/>
      <w:ind w:left="-992" w:right="5387"/>
      <w:jc w:val="center"/>
      <w:outlineLvl w:val="2"/>
    </w:pPr>
    <w:rPr>
      <w:rFonts w:ascii="ShelleyAllegro BT" w:hAnsi="ShelleyAllegro BT"/>
      <w:sz w:val="5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ind w:left="-1134"/>
    </w:pPr>
    <w:rPr>
      <w:sz w:val="14"/>
    </w:rPr>
  </w:style>
  <w:style w:type="paragraph" w:customStyle="1" w:styleId="epc">
    <w:name w:val="epc"/>
    <w:basedOn w:val="Normale"/>
    <w:next w:val="Normale"/>
    <w:pPr>
      <w:tabs>
        <w:tab w:val="left" w:pos="4961"/>
      </w:tabs>
      <w:ind w:left="4111" w:right="567"/>
    </w:pPr>
  </w:style>
  <w:style w:type="character" w:styleId="Rimandocommento">
    <w:name w:val="annotation reference"/>
    <w:semiHidden/>
    <w:rPr>
      <w:sz w:val="16"/>
    </w:rPr>
  </w:style>
  <w:style w:type="paragraph" w:customStyle="1" w:styleId="Oggetto">
    <w:name w:val="Oggetto"/>
    <w:basedOn w:val="Normale"/>
    <w:pPr>
      <w:spacing w:after="240"/>
      <w:ind w:left="1276" w:hanging="1276"/>
    </w:pPr>
    <w:rPr>
      <w:rFonts w:ascii="Times New Roman" w:hAnsi="Times New Roman"/>
      <w:smallCaps/>
      <w:spacing w:val="20"/>
    </w:rPr>
  </w:style>
  <w:style w:type="paragraph" w:customStyle="1" w:styleId="Indirizzo">
    <w:name w:val="Indirizzo"/>
    <w:basedOn w:val="Normale"/>
    <w:pPr>
      <w:ind w:left="4961"/>
      <w:jc w:val="left"/>
    </w:pPr>
  </w:style>
  <w:style w:type="paragraph" w:customStyle="1" w:styleId="P1">
    <w:name w:val="P1"/>
    <w:basedOn w:val="Normale"/>
    <w:pPr>
      <w:spacing w:after="240"/>
      <w:ind w:left="567"/>
    </w:pPr>
  </w:style>
  <w:style w:type="paragraph" w:customStyle="1" w:styleId="Corpodeltesto">
    <w:name w:val="Corpo del testo"/>
    <w:basedOn w:val="Normale"/>
    <w:rPr>
      <w:b/>
    </w:rPr>
  </w:style>
  <w:style w:type="paragraph" w:styleId="Testocommento">
    <w:name w:val="annotation text"/>
    <w:basedOn w:val="Normale"/>
    <w:semiHidden/>
    <w:rPr>
      <w:sz w:val="20"/>
    </w:rPr>
  </w:style>
  <w:style w:type="paragraph" w:styleId="Intestazione">
    <w:name w:val="header"/>
    <w:basedOn w:val="Normale"/>
    <w:pPr>
      <w:tabs>
        <w:tab w:val="center" w:pos="4819"/>
        <w:tab w:val="right" w:pos="9638"/>
      </w:tabs>
    </w:pPr>
  </w:style>
  <w:style w:type="paragraph" w:customStyle="1" w:styleId="S1">
    <w:name w:val="S1"/>
    <w:basedOn w:val="P1"/>
    <w:next w:val="P1"/>
    <w:pPr>
      <w:ind w:hanging="567"/>
    </w:pPr>
  </w:style>
  <w:style w:type="paragraph" w:customStyle="1" w:styleId="P0">
    <w:name w:val="P0"/>
    <w:basedOn w:val="Normale"/>
    <w:pPr>
      <w:spacing w:after="240"/>
    </w:pPr>
  </w:style>
  <w:style w:type="paragraph" w:customStyle="1" w:styleId="P2">
    <w:name w:val="P2"/>
    <w:basedOn w:val="P0"/>
    <w:pPr>
      <w:ind w:left="1134"/>
    </w:pPr>
  </w:style>
  <w:style w:type="paragraph" w:customStyle="1" w:styleId="S2">
    <w:name w:val="S2"/>
    <w:basedOn w:val="P0"/>
    <w:next w:val="P2"/>
    <w:pPr>
      <w:ind w:left="1134" w:hanging="1134"/>
    </w:pPr>
  </w:style>
  <w:style w:type="paragraph" w:customStyle="1" w:styleId="R1">
    <w:name w:val="R1"/>
    <w:basedOn w:val="P0"/>
    <w:pPr>
      <w:ind w:firstLine="567"/>
    </w:pPr>
  </w:style>
  <w:style w:type="paragraph" w:customStyle="1" w:styleId="R2">
    <w:name w:val="R2"/>
    <w:basedOn w:val="P0"/>
    <w:pPr>
      <w:ind w:firstLine="1134"/>
    </w:pPr>
  </w:style>
  <w:style w:type="paragraph" w:styleId="Firma">
    <w:name w:val="Signature"/>
    <w:basedOn w:val="Normale"/>
    <w:next w:val="P0"/>
    <w:pPr>
      <w:keepLines/>
      <w:ind w:left="4961" w:right="567"/>
      <w:jc w:val="center"/>
    </w:pPr>
  </w:style>
  <w:style w:type="paragraph" w:customStyle="1" w:styleId="P3">
    <w:name w:val="P3"/>
    <w:basedOn w:val="P0"/>
    <w:pPr>
      <w:ind w:left="1701"/>
    </w:pPr>
  </w:style>
  <w:style w:type="paragraph" w:customStyle="1" w:styleId="S3">
    <w:name w:val="S3"/>
    <w:basedOn w:val="P0"/>
    <w:next w:val="P3"/>
    <w:pPr>
      <w:ind w:left="1701" w:hanging="1701"/>
    </w:pPr>
  </w:style>
  <w:style w:type="paragraph" w:customStyle="1" w:styleId="R3">
    <w:name w:val="R3"/>
    <w:basedOn w:val="P0"/>
    <w:pPr>
      <w:ind w:firstLine="1701"/>
    </w:pPr>
  </w:style>
  <w:style w:type="character" w:styleId="Numeropagina">
    <w:name w:val="page number"/>
    <w:basedOn w:val="Carpredefinitoparagrafo"/>
  </w:style>
  <w:style w:type="character" w:styleId="Collegamentoipertestuale">
    <w:name w:val="Hyperlink"/>
    <w:rsid w:val="008319B5"/>
    <w:rPr>
      <w:color w:val="0000FF"/>
      <w:u w:val="single"/>
    </w:rPr>
  </w:style>
  <w:style w:type="character" w:customStyle="1" w:styleId="Menzionenonrisolta1">
    <w:name w:val="Menzione non risolta1"/>
    <w:uiPriority w:val="99"/>
    <w:semiHidden/>
    <w:unhideWhenUsed/>
    <w:rsid w:val="002706CA"/>
    <w:rPr>
      <w:color w:val="605E5C"/>
      <w:shd w:val="clear" w:color="auto" w:fill="E1DFDD"/>
    </w:rPr>
  </w:style>
  <w:style w:type="paragraph" w:customStyle="1" w:styleId="Corpodeltesto1">
    <w:name w:val="Corpo del testo1"/>
    <w:basedOn w:val="Normale"/>
    <w:rsid w:val="00DE1F2E"/>
    <w:rPr>
      <w:b/>
    </w:rPr>
  </w:style>
  <w:style w:type="paragraph" w:styleId="Testofumetto">
    <w:name w:val="Balloon Text"/>
    <w:basedOn w:val="Normale"/>
    <w:link w:val="TestofumettoCarattere"/>
    <w:rsid w:val="009E2750"/>
    <w:rPr>
      <w:rFonts w:ascii="Tahoma" w:hAnsi="Tahoma" w:cs="Tahoma"/>
      <w:sz w:val="16"/>
      <w:szCs w:val="16"/>
    </w:rPr>
  </w:style>
  <w:style w:type="character" w:customStyle="1" w:styleId="TestofumettoCarattere">
    <w:name w:val="Testo fumetto Carattere"/>
    <w:link w:val="Testofumetto"/>
    <w:rsid w:val="009E2750"/>
    <w:rPr>
      <w:rFonts w:ascii="Tahoma" w:hAnsi="Tahoma" w:cs="Tahoma"/>
      <w:sz w:val="16"/>
      <w:szCs w:val="16"/>
    </w:rPr>
  </w:style>
  <w:style w:type="character" w:customStyle="1" w:styleId="Nessuno">
    <w:name w:val="Nessuno"/>
    <w:rsid w:val="008C1366"/>
  </w:style>
  <w:style w:type="paragraph" w:styleId="Corpodeltesto3">
    <w:name w:val="Body Text 3"/>
    <w:link w:val="Corpodeltesto3Carattere"/>
    <w:rsid w:val="008C1366"/>
    <w:pPr>
      <w:pBdr>
        <w:top w:val="nil"/>
        <w:left w:val="nil"/>
        <w:bottom w:val="nil"/>
        <w:right w:val="nil"/>
        <w:between w:val="nil"/>
        <w:bar w:val="nil"/>
      </w:pBdr>
      <w:spacing w:after="120"/>
    </w:pPr>
    <w:rPr>
      <w:color w:val="000000"/>
      <w:sz w:val="16"/>
      <w:szCs w:val="16"/>
      <w:u w:color="000000"/>
      <w:bdr w:val="nil"/>
    </w:rPr>
  </w:style>
  <w:style w:type="character" w:customStyle="1" w:styleId="Corpodeltesto3Carattere">
    <w:name w:val="Corpo del testo 3 Carattere"/>
    <w:link w:val="Corpodeltesto3"/>
    <w:rsid w:val="008C1366"/>
    <w:rPr>
      <w:color w:val="000000"/>
      <w:sz w:val="16"/>
      <w:szCs w:val="16"/>
      <w:u w:color="000000"/>
      <w:bdr w:val="nil"/>
    </w:rPr>
  </w:style>
  <w:style w:type="character" w:customStyle="1" w:styleId="Menzionenonrisolta2">
    <w:name w:val="Menzione non risolta2"/>
    <w:basedOn w:val="Carpredefinitoparagrafo"/>
    <w:uiPriority w:val="99"/>
    <w:semiHidden/>
    <w:unhideWhenUsed/>
    <w:rsid w:val="00FE5C7A"/>
    <w:rPr>
      <w:color w:val="605E5C"/>
      <w:shd w:val="clear" w:color="auto" w:fill="E1DFDD"/>
    </w:rPr>
  </w:style>
  <w:style w:type="character" w:customStyle="1" w:styleId="Menzionenonrisolta3">
    <w:name w:val="Menzione non risolta3"/>
    <w:basedOn w:val="Carpredefinitoparagrafo"/>
    <w:uiPriority w:val="99"/>
    <w:semiHidden/>
    <w:unhideWhenUsed/>
    <w:rsid w:val="003F64FC"/>
    <w:rPr>
      <w:color w:val="605E5C"/>
      <w:shd w:val="clear" w:color="auto" w:fill="E1DFDD"/>
    </w:rPr>
  </w:style>
  <w:style w:type="paragraph" w:customStyle="1" w:styleId="Default">
    <w:name w:val="Default"/>
    <w:rsid w:val="009B7E28"/>
    <w:pPr>
      <w:autoSpaceDE w:val="0"/>
      <w:autoSpaceDN w:val="0"/>
      <w:adjustRightInd w:val="0"/>
    </w:pPr>
    <w:rPr>
      <w:color w:val="000000"/>
      <w:sz w:val="24"/>
      <w:szCs w:val="24"/>
    </w:rPr>
  </w:style>
  <w:style w:type="character" w:styleId="Menzionenonrisolta">
    <w:name w:val="Unresolved Mention"/>
    <w:basedOn w:val="Carpredefinitoparagrafo"/>
    <w:uiPriority w:val="99"/>
    <w:semiHidden/>
    <w:unhideWhenUsed/>
    <w:rsid w:val="003E7128"/>
    <w:rPr>
      <w:color w:val="605E5C"/>
      <w:shd w:val="clear" w:color="auto" w:fill="E1DFDD"/>
    </w:rPr>
  </w:style>
  <w:style w:type="character" w:styleId="Collegamentovisitato">
    <w:name w:val="FollowedHyperlink"/>
    <w:basedOn w:val="Carpredefinitoparagrafo"/>
    <w:semiHidden/>
    <w:unhideWhenUsed/>
    <w:rsid w:val="00D37A92"/>
    <w:rPr>
      <w:color w:val="954F72" w:themeColor="followedHyperlink"/>
      <w:u w:val="single"/>
    </w:rPr>
  </w:style>
  <w:style w:type="paragraph" w:styleId="Paragrafoelenco">
    <w:name w:val="List Paragraph"/>
    <w:basedOn w:val="Normale"/>
    <w:uiPriority w:val="34"/>
    <w:qFormat/>
    <w:rsid w:val="00F37993"/>
    <w:pPr>
      <w:ind w:left="708"/>
      <w:jc w:val="left"/>
    </w:pPr>
    <w:rPr>
      <w:rFonts w:ascii="Times New Roman" w:hAnsi="Times New Roman"/>
      <w:szCs w:val="24"/>
    </w:rPr>
  </w:style>
  <w:style w:type="table" w:styleId="Grigliatabella">
    <w:name w:val="Table Grid"/>
    <w:basedOn w:val="Tabellanormale"/>
    <w:uiPriority w:val="39"/>
    <w:rsid w:val="000C006A"/>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124BC6"/>
    <w:pPr>
      <w:spacing w:before="100" w:beforeAutospacing="1" w:after="100" w:afterAutospacing="1"/>
      <w:jc w:val="left"/>
    </w:pPr>
    <w:rPr>
      <w:rFonts w:ascii="Times New Roman" w:hAnsi="Times New Roman"/>
      <w:szCs w:val="24"/>
    </w:rPr>
  </w:style>
  <w:style w:type="character" w:customStyle="1" w:styleId="apple-converted-space">
    <w:name w:val="apple-converted-space"/>
    <w:basedOn w:val="Carpredefinitoparagrafo"/>
    <w:rsid w:val="00124BC6"/>
  </w:style>
  <w:style w:type="paragraph" w:styleId="Revisione">
    <w:name w:val="Revision"/>
    <w:hidden/>
    <w:uiPriority w:val="99"/>
    <w:semiHidden/>
    <w:rsid w:val="00484A31"/>
    <w:rPr>
      <w:rFonts w:ascii="Arial" w:hAnsi="Arial"/>
      <w:sz w:val="24"/>
    </w:rPr>
  </w:style>
  <w:style w:type="paragraph" w:customStyle="1" w:styleId="p10">
    <w:name w:val="p1"/>
    <w:basedOn w:val="Normale"/>
    <w:rsid w:val="00F83EB4"/>
    <w:pPr>
      <w:jc w:val="left"/>
    </w:pPr>
    <w:rPr>
      <w:rFonts w:ascii="Times New Roman" w:eastAsiaTheme="minorEastAsia" w:hAnsi="Times New Roman"/>
      <w:color w:val="000000"/>
      <w:sz w:val="23"/>
      <w:szCs w:val="23"/>
    </w:rPr>
  </w:style>
  <w:style w:type="character" w:customStyle="1" w:styleId="s10">
    <w:name w:val="s1"/>
    <w:basedOn w:val="Carpredefinitoparagrafo"/>
    <w:rsid w:val="00F83EB4"/>
    <w:rPr>
      <w:rFonts w:ascii="Times New Roman" w:hAnsi="Times New Roman" w:cs="Times New Roman" w:hint="default"/>
      <w:b w:val="0"/>
      <w:bCs w:val="0"/>
      <w:i w:val="0"/>
      <w:iCs w:val="0"/>
      <w:sz w:val="23"/>
      <w:szCs w:val="23"/>
    </w:rPr>
  </w:style>
  <w:style w:type="character" w:customStyle="1" w:styleId="s20">
    <w:name w:val="s2"/>
    <w:basedOn w:val="Carpredefinitoparagrafo"/>
    <w:rsid w:val="00F83EB4"/>
    <w:rPr>
      <w:rFonts w:ascii="TimesNewRomanPS-ItalicMT" w:hAnsi="TimesNewRomanPS-ItalicMT" w:hint="default"/>
      <w:b w:val="0"/>
      <w:bCs w:val="0"/>
      <w:i/>
      <w:iCs/>
      <w:sz w:val="23"/>
      <w:szCs w:val="23"/>
    </w:rPr>
  </w:style>
  <w:style w:type="character" w:customStyle="1" w:styleId="t286pc">
    <w:name w:val="t286pc"/>
    <w:basedOn w:val="Carpredefinitoparagrafo"/>
    <w:rsid w:val="00414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248492">
      <w:bodyDiv w:val="1"/>
      <w:marLeft w:val="0"/>
      <w:marRight w:val="0"/>
      <w:marTop w:val="0"/>
      <w:marBottom w:val="0"/>
      <w:divBdr>
        <w:top w:val="none" w:sz="0" w:space="0" w:color="auto"/>
        <w:left w:val="none" w:sz="0" w:space="0" w:color="auto"/>
        <w:bottom w:val="none" w:sz="0" w:space="0" w:color="auto"/>
        <w:right w:val="none" w:sz="0" w:space="0" w:color="auto"/>
      </w:divBdr>
    </w:div>
    <w:div w:id="1317412376">
      <w:bodyDiv w:val="1"/>
      <w:marLeft w:val="0"/>
      <w:marRight w:val="0"/>
      <w:marTop w:val="0"/>
      <w:marBottom w:val="0"/>
      <w:divBdr>
        <w:top w:val="none" w:sz="0" w:space="0" w:color="auto"/>
        <w:left w:val="none" w:sz="0" w:space="0" w:color="auto"/>
        <w:bottom w:val="none" w:sz="0" w:space="0" w:color="auto"/>
        <w:right w:val="none" w:sz="0" w:space="0" w:color="auto"/>
      </w:divBdr>
    </w:div>
    <w:div w:id="1556696305">
      <w:bodyDiv w:val="1"/>
      <w:marLeft w:val="0"/>
      <w:marRight w:val="0"/>
      <w:marTop w:val="0"/>
      <w:marBottom w:val="0"/>
      <w:divBdr>
        <w:top w:val="none" w:sz="0" w:space="0" w:color="auto"/>
        <w:left w:val="none" w:sz="0" w:space="0" w:color="auto"/>
        <w:bottom w:val="none" w:sz="0" w:space="0" w:color="auto"/>
        <w:right w:val="none" w:sz="0" w:space="0" w:color="auto"/>
      </w:divBdr>
    </w:div>
    <w:div w:id="1809471095">
      <w:bodyDiv w:val="1"/>
      <w:marLeft w:val="0"/>
      <w:marRight w:val="0"/>
      <w:marTop w:val="0"/>
      <w:marBottom w:val="0"/>
      <w:divBdr>
        <w:top w:val="none" w:sz="0" w:space="0" w:color="auto"/>
        <w:left w:val="none" w:sz="0" w:space="0" w:color="auto"/>
        <w:bottom w:val="none" w:sz="0" w:space="0" w:color="auto"/>
        <w:right w:val="none" w:sz="0" w:space="0" w:color="auto"/>
      </w:divBdr>
    </w:div>
    <w:div w:id="186142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1D5C8-42CA-F846-B2F0-117DB554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1995</Words>
  <Characters>11374</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DVA-2VA_LetteraOggetto</vt:lpstr>
    </vt:vector>
  </TitlesOfParts>
  <Company>Olidata S.p.A.</Company>
  <LinksUpToDate>false</LinksUpToDate>
  <CharactersWithSpaces>13343</CharactersWithSpaces>
  <SharedDoc>false</SharedDoc>
  <HLinks>
    <vt:vector size="12" baseType="variant">
      <vt:variant>
        <vt:i4>327802</vt:i4>
      </vt:variant>
      <vt:variant>
        <vt:i4>18</vt:i4>
      </vt:variant>
      <vt:variant>
        <vt:i4>0</vt:i4>
      </vt:variant>
      <vt:variant>
        <vt:i4>5</vt:i4>
      </vt:variant>
      <vt:variant>
        <vt:lpwstr>mailto:PNA@pec.minambiente.it</vt:lpwstr>
      </vt:variant>
      <vt:variant>
        <vt:lpwstr/>
      </vt:variant>
      <vt:variant>
        <vt:i4>262264</vt:i4>
      </vt:variant>
      <vt:variant>
        <vt:i4>15</vt:i4>
      </vt:variant>
      <vt:variant>
        <vt:i4>0</vt:i4>
      </vt:variant>
      <vt:variant>
        <vt:i4>5</vt:i4>
      </vt:variant>
      <vt:variant>
        <vt:lpwstr>mailto:PNA-UDG@minambiente.it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DVA-2VA_LetteraOggetto</dc:title>
  <dc:creator>Baccani</dc:creator>
  <cp:lastModifiedBy>De Ponte Renata</cp:lastModifiedBy>
  <cp:revision>10</cp:revision>
  <cp:lastPrinted>2025-04-24T08:02:00Z</cp:lastPrinted>
  <dcterms:created xsi:type="dcterms:W3CDTF">2026-07-17T09:20:00Z</dcterms:created>
  <dcterms:modified xsi:type="dcterms:W3CDTF">2026-07-20T10:13:00Z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2025-02-03T15:57:29Z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d4500ec3-58bb-470e-8bc9-20f9c89b4123</vt:lpwstr>
  </property>
  <property fmtid="{D5CDD505-2E9C-101B-9397-08002B2CF9AE}" pid="8" name="MSIP_Label_94f5f15f-11ca-4705-a655-5e46846a1c6b_ContentBits">
    <vt:lpwstr>0</vt:lpwstr>
  </property>
</Properties>
</file>